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8F" w:rsidRPr="006845C3" w:rsidRDefault="00200C8F" w:rsidP="00577A03">
      <w:pPr>
        <w:contextualSpacing/>
        <w:jc w:val="center"/>
        <w:rPr>
          <w:b/>
          <w:sz w:val="24"/>
          <w:szCs w:val="24"/>
        </w:rPr>
      </w:pPr>
      <w:r w:rsidRPr="006845C3">
        <w:rPr>
          <w:b/>
          <w:sz w:val="24"/>
          <w:szCs w:val="24"/>
        </w:rPr>
        <w:t>ORDENANZA No. 018-2019</w:t>
      </w:r>
    </w:p>
    <w:p w:rsidR="00200C8F" w:rsidRPr="006845C3" w:rsidRDefault="00200C8F" w:rsidP="00577A03">
      <w:pPr>
        <w:kinsoku w:val="0"/>
        <w:overflowPunct w:val="0"/>
        <w:contextualSpacing/>
        <w:jc w:val="center"/>
        <w:textAlignment w:val="baseline"/>
        <w:rPr>
          <w:b/>
          <w:bCs/>
          <w:sz w:val="24"/>
          <w:szCs w:val="24"/>
          <w:lang w:val="es-ES" w:eastAsia="es-ES"/>
        </w:rPr>
      </w:pPr>
    </w:p>
    <w:p w:rsidR="00200C8F" w:rsidRPr="006845C3" w:rsidRDefault="00200C8F" w:rsidP="00577A03">
      <w:pPr>
        <w:kinsoku w:val="0"/>
        <w:overflowPunct w:val="0"/>
        <w:contextualSpacing/>
        <w:jc w:val="center"/>
        <w:textAlignment w:val="baseline"/>
        <w:rPr>
          <w:b/>
          <w:bCs/>
          <w:sz w:val="24"/>
          <w:szCs w:val="24"/>
          <w:lang w:val="es-ES" w:eastAsia="es-ES"/>
        </w:rPr>
      </w:pPr>
      <w:r w:rsidRPr="006845C3">
        <w:rPr>
          <w:b/>
          <w:bCs/>
          <w:sz w:val="24"/>
          <w:szCs w:val="24"/>
          <w:lang w:val="es-ES" w:eastAsia="es-ES"/>
        </w:rPr>
        <w:t xml:space="preserve">EL CONCEJO MUNICIPAL DEL </w:t>
      </w:r>
      <w:r w:rsidRPr="006845C3">
        <w:rPr>
          <w:b/>
          <w:bCs/>
          <w:iCs/>
          <w:sz w:val="24"/>
          <w:szCs w:val="24"/>
          <w:lang w:val="es-ES" w:eastAsia="es-ES"/>
        </w:rPr>
        <w:t xml:space="preserve">CANTÓN </w:t>
      </w:r>
      <w:r w:rsidRPr="006845C3">
        <w:rPr>
          <w:b/>
          <w:bCs/>
          <w:sz w:val="24"/>
          <w:szCs w:val="24"/>
          <w:lang w:val="es-ES" w:eastAsia="es-ES"/>
        </w:rPr>
        <w:t>RIOBAMBA</w:t>
      </w:r>
    </w:p>
    <w:p w:rsidR="00200C8F" w:rsidRPr="006845C3" w:rsidRDefault="00200C8F" w:rsidP="00577A03">
      <w:pPr>
        <w:ind w:left="1950" w:right="1772"/>
        <w:contextualSpacing/>
        <w:jc w:val="center"/>
        <w:rPr>
          <w:b/>
          <w:sz w:val="24"/>
          <w:szCs w:val="24"/>
          <w:lang w:val="es-ES"/>
        </w:rPr>
      </w:pPr>
    </w:p>
    <w:p w:rsidR="00200C8F" w:rsidRPr="006845C3" w:rsidRDefault="00200C8F" w:rsidP="00577A03">
      <w:pPr>
        <w:ind w:right="13"/>
        <w:contextualSpacing/>
        <w:jc w:val="center"/>
        <w:rPr>
          <w:b/>
          <w:sz w:val="24"/>
          <w:szCs w:val="24"/>
        </w:rPr>
      </w:pPr>
      <w:r w:rsidRPr="006845C3">
        <w:rPr>
          <w:b/>
          <w:sz w:val="24"/>
          <w:szCs w:val="24"/>
        </w:rPr>
        <w:t>CONSIDERAND</w:t>
      </w:r>
      <w:r w:rsidRPr="006845C3">
        <w:rPr>
          <w:b/>
          <w:spacing w:val="1"/>
          <w:sz w:val="24"/>
          <w:szCs w:val="24"/>
        </w:rPr>
        <w:t>O</w:t>
      </w:r>
      <w:r w:rsidRPr="006845C3">
        <w:rPr>
          <w:b/>
          <w:sz w:val="24"/>
          <w:szCs w:val="24"/>
        </w:rPr>
        <w:t>:</w:t>
      </w:r>
    </w:p>
    <w:p w:rsidR="00F30B47" w:rsidRPr="006845C3" w:rsidRDefault="00F30B47" w:rsidP="00577A03">
      <w:pPr>
        <w:pStyle w:val="Sinespaciado"/>
        <w:jc w:val="center"/>
        <w:rPr>
          <w:rFonts w:ascii="Times New Roman" w:hAnsi="Times New Roman" w:cs="Times New Roman"/>
          <w:b/>
          <w:spacing w:val="-2"/>
          <w:w w:val="102"/>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Que</w:t>
      </w:r>
      <w:r w:rsidRPr="006845C3">
        <w:rPr>
          <w:rFonts w:ascii="Times New Roman" w:hAnsi="Times New Roman" w:cs="Times New Roman"/>
          <w:sz w:val="24"/>
          <w:szCs w:val="24"/>
        </w:rPr>
        <w:t>, el artículo 30 de la Constitución de la República (CRE) determina: “Las personas tienen derecho a un hábitat seguro y saludable, y a una vivienda adecuada y digna, con independencia de su situación social y económica”;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Que</w:t>
      </w:r>
      <w:r w:rsidRPr="006845C3">
        <w:rPr>
          <w:rFonts w:ascii="Times New Roman" w:hAnsi="Times New Roman" w:cs="Times New Roman"/>
          <w:sz w:val="24"/>
          <w:szCs w:val="24"/>
        </w:rPr>
        <w:t>, el artículo 264 de la Constitución de la República dispone: “Los gobiernos municipales tendrán las siguientes competencias exclusivas sin perjuicio de otras que determine la ley: (…) 2. Ejercer el control sobre el uso y ocupación del suelo en el cantón (…)”;</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lang w:val="es-EC"/>
        </w:rPr>
      </w:pPr>
      <w:r w:rsidRPr="006845C3">
        <w:rPr>
          <w:rFonts w:ascii="Times New Roman" w:hAnsi="Times New Roman" w:cs="Times New Roman"/>
          <w:b/>
          <w:sz w:val="24"/>
          <w:szCs w:val="24"/>
        </w:rPr>
        <w:t>Que</w:t>
      </w:r>
      <w:r w:rsidRPr="006845C3">
        <w:rPr>
          <w:rFonts w:ascii="Times New Roman" w:hAnsi="Times New Roman" w:cs="Times New Roman"/>
          <w:sz w:val="24"/>
          <w:szCs w:val="24"/>
        </w:rPr>
        <w:t xml:space="preserve">, </w:t>
      </w:r>
      <w:r w:rsidRPr="006845C3">
        <w:rPr>
          <w:rFonts w:ascii="Times New Roman" w:hAnsi="Times New Roman" w:cs="Times New Roman"/>
          <w:sz w:val="24"/>
          <w:szCs w:val="24"/>
          <w:lang w:val="es-EC"/>
        </w:rPr>
        <w:t>el artículo 54 del Código Orgánico de Organización Territorial, Autonomía   y Descentralización (COOTAD) señala que son funciones del Gobierno Autónomo Descentralizado: (…)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F30B47" w:rsidRPr="006845C3" w:rsidRDefault="00F30B47" w:rsidP="00577A03">
      <w:pPr>
        <w:pStyle w:val="Sinespaciado"/>
        <w:jc w:val="both"/>
        <w:rPr>
          <w:rFonts w:ascii="Times New Roman" w:hAnsi="Times New Roman" w:cs="Times New Roman"/>
          <w:sz w:val="24"/>
          <w:szCs w:val="24"/>
          <w:lang w:val="es-EC"/>
        </w:rPr>
      </w:pPr>
    </w:p>
    <w:p w:rsidR="00F30B47" w:rsidRPr="006845C3" w:rsidRDefault="00F30B47" w:rsidP="00577A03">
      <w:pPr>
        <w:pStyle w:val="Sinespaciado"/>
        <w:jc w:val="both"/>
        <w:rPr>
          <w:rFonts w:ascii="Times New Roman" w:hAnsi="Times New Roman" w:cs="Times New Roman"/>
          <w:sz w:val="24"/>
          <w:szCs w:val="24"/>
          <w:lang w:val="es-EC"/>
        </w:rPr>
      </w:pPr>
      <w:r w:rsidRPr="006845C3">
        <w:rPr>
          <w:rFonts w:ascii="Times New Roman" w:hAnsi="Times New Roman" w:cs="Times New Roman"/>
          <w:b/>
          <w:sz w:val="24"/>
          <w:szCs w:val="24"/>
        </w:rPr>
        <w:t>Que</w:t>
      </w:r>
      <w:r w:rsidRPr="006845C3">
        <w:rPr>
          <w:rFonts w:ascii="Times New Roman" w:hAnsi="Times New Roman" w:cs="Times New Roman"/>
          <w:sz w:val="24"/>
          <w:szCs w:val="24"/>
        </w:rPr>
        <w:t xml:space="preserve">, </w:t>
      </w:r>
      <w:r w:rsidRPr="006845C3">
        <w:rPr>
          <w:rFonts w:ascii="Times New Roman" w:hAnsi="Times New Roman" w:cs="Times New Roman"/>
          <w:sz w:val="24"/>
          <w:szCs w:val="24"/>
          <w:lang w:val="es-EC"/>
        </w:rPr>
        <w:t>el artículo 55 del COOTAD determina que es competencia de los gobiernos autónomos descentralizado municipales: (…) “b) Ejercer el control sobre el uso y ocupación del suelo en el cantón”</w:t>
      </w:r>
      <w:r w:rsidR="00D948A5">
        <w:rPr>
          <w:rFonts w:ascii="Times New Roman" w:hAnsi="Times New Roman" w:cs="Times New Roman"/>
          <w:sz w:val="24"/>
          <w:szCs w:val="24"/>
          <w:lang w:val="es-EC"/>
        </w:rPr>
        <w:t>;</w:t>
      </w:r>
      <w:r w:rsidRPr="006845C3">
        <w:rPr>
          <w:rFonts w:ascii="Times New Roman" w:hAnsi="Times New Roman" w:cs="Times New Roman"/>
          <w:sz w:val="24"/>
          <w:szCs w:val="24"/>
          <w:lang w:val="es-EC"/>
        </w:rPr>
        <w:t xml:space="preserve"> </w:t>
      </w:r>
    </w:p>
    <w:p w:rsidR="00F30B47" w:rsidRPr="006845C3" w:rsidRDefault="00F30B47" w:rsidP="00577A03">
      <w:pPr>
        <w:pStyle w:val="Sinespaciado"/>
        <w:jc w:val="both"/>
        <w:rPr>
          <w:rFonts w:ascii="Times New Roman" w:hAnsi="Times New Roman" w:cs="Times New Roman"/>
          <w:sz w:val="24"/>
          <w:szCs w:val="24"/>
          <w:lang w:val="es-EC"/>
        </w:rPr>
      </w:pPr>
    </w:p>
    <w:p w:rsidR="00F30B47" w:rsidRPr="006845C3" w:rsidRDefault="00F30B47" w:rsidP="00577A03">
      <w:pPr>
        <w:pStyle w:val="Sinespaciado"/>
        <w:jc w:val="both"/>
        <w:rPr>
          <w:rFonts w:ascii="Times New Roman" w:hAnsi="Times New Roman" w:cs="Times New Roman"/>
          <w:sz w:val="24"/>
          <w:szCs w:val="24"/>
          <w:lang w:val="es-EC"/>
        </w:rPr>
      </w:pPr>
      <w:r w:rsidRPr="006845C3">
        <w:rPr>
          <w:rFonts w:ascii="Times New Roman" w:hAnsi="Times New Roman" w:cs="Times New Roman"/>
          <w:b/>
          <w:sz w:val="24"/>
          <w:szCs w:val="24"/>
        </w:rPr>
        <w:t>Que</w:t>
      </w:r>
      <w:r w:rsidRPr="006845C3">
        <w:rPr>
          <w:rFonts w:ascii="Times New Roman" w:hAnsi="Times New Roman" w:cs="Times New Roman"/>
          <w:sz w:val="24"/>
          <w:szCs w:val="24"/>
        </w:rPr>
        <w:t xml:space="preserve">, </w:t>
      </w:r>
      <w:r w:rsidR="00D948A5">
        <w:rPr>
          <w:rFonts w:ascii="Times New Roman" w:hAnsi="Times New Roman" w:cs="Times New Roman"/>
          <w:sz w:val="24"/>
          <w:szCs w:val="24"/>
          <w:lang w:val="es-EC"/>
        </w:rPr>
        <w:t>e</w:t>
      </w:r>
      <w:r w:rsidRPr="006845C3">
        <w:rPr>
          <w:rFonts w:ascii="Times New Roman" w:hAnsi="Times New Roman" w:cs="Times New Roman"/>
          <w:sz w:val="24"/>
          <w:szCs w:val="24"/>
          <w:lang w:val="es-EC"/>
        </w:rPr>
        <w:t>l artículo 57 letra a) del COOTAD determina que al Concejo Municipal le corresponde el ejercicio de la facultad normativa en las materias de competencia del gobierno autónomo descentralizado municipal, mediante la expedición de ordenanzas cantonales, acuerdos y resoluciones;</w:t>
      </w:r>
    </w:p>
    <w:p w:rsidR="00F30B47" w:rsidRPr="006845C3" w:rsidRDefault="00F30B47" w:rsidP="00577A03">
      <w:pPr>
        <w:pStyle w:val="Sinespaciado"/>
        <w:jc w:val="both"/>
        <w:rPr>
          <w:rFonts w:ascii="Times New Roman" w:hAnsi="Times New Roman" w:cs="Times New Roman"/>
          <w:sz w:val="24"/>
          <w:szCs w:val="24"/>
          <w:lang w:val="es-EC"/>
        </w:rPr>
      </w:pPr>
    </w:p>
    <w:p w:rsidR="00F30B47" w:rsidRPr="006845C3" w:rsidRDefault="00F30B47" w:rsidP="00577A03">
      <w:pPr>
        <w:pStyle w:val="Sinespaciado"/>
        <w:jc w:val="both"/>
        <w:rPr>
          <w:rFonts w:ascii="Times New Roman" w:hAnsi="Times New Roman" w:cs="Times New Roman"/>
          <w:sz w:val="24"/>
          <w:szCs w:val="24"/>
          <w:lang w:val="es-EC"/>
        </w:rPr>
      </w:pPr>
      <w:r w:rsidRPr="006845C3">
        <w:rPr>
          <w:rFonts w:ascii="Times New Roman" w:hAnsi="Times New Roman" w:cs="Times New Roman"/>
          <w:b/>
          <w:sz w:val="24"/>
          <w:szCs w:val="24"/>
        </w:rPr>
        <w:t>Que</w:t>
      </w:r>
      <w:r w:rsidRPr="006845C3">
        <w:rPr>
          <w:rFonts w:ascii="Times New Roman" w:hAnsi="Times New Roman" w:cs="Times New Roman"/>
          <w:sz w:val="24"/>
          <w:szCs w:val="24"/>
        </w:rPr>
        <w:t xml:space="preserve">, </w:t>
      </w:r>
      <w:r w:rsidRPr="006845C3">
        <w:rPr>
          <w:rFonts w:ascii="Times New Roman" w:hAnsi="Times New Roman" w:cs="Times New Roman"/>
          <w:sz w:val="24"/>
          <w:szCs w:val="24"/>
          <w:lang w:val="es-EC"/>
        </w:rPr>
        <w:t>el artículo 424 del COOTAD establece: “</w:t>
      </w:r>
      <w:r w:rsidR="00F326DE" w:rsidRPr="006845C3">
        <w:rPr>
          <w:rFonts w:ascii="Times New Roman" w:hAnsi="Times New Roman" w:cs="Times New Roman"/>
          <w:sz w:val="24"/>
          <w:szCs w:val="24"/>
          <w:lang w:val="es-EC"/>
        </w:rPr>
        <w:t>Área</w:t>
      </w:r>
      <w:r w:rsidRPr="006845C3">
        <w:rPr>
          <w:rFonts w:ascii="Times New Roman" w:hAnsi="Times New Roman" w:cs="Times New Roman"/>
          <w:sz w:val="24"/>
          <w:szCs w:val="24"/>
          <w:lang w:val="es-EC"/>
        </w:rPr>
        <w:t xml:space="preserve">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w:t>
      </w:r>
    </w:p>
    <w:p w:rsidR="00F30B47" w:rsidRPr="006845C3" w:rsidRDefault="00F30B47" w:rsidP="00577A03">
      <w:pPr>
        <w:pStyle w:val="Sinespaciado"/>
        <w:jc w:val="both"/>
        <w:rPr>
          <w:rFonts w:ascii="Times New Roman" w:hAnsi="Times New Roman" w:cs="Times New Roman"/>
          <w:sz w:val="24"/>
          <w:szCs w:val="24"/>
          <w:lang w:val="es-EC"/>
        </w:rPr>
      </w:pPr>
    </w:p>
    <w:p w:rsidR="00F30B47" w:rsidRPr="006845C3" w:rsidRDefault="00F30B47" w:rsidP="00577A03">
      <w:pPr>
        <w:pStyle w:val="Sinespaciado"/>
        <w:jc w:val="both"/>
        <w:rPr>
          <w:rFonts w:ascii="Times New Roman" w:hAnsi="Times New Roman" w:cs="Times New Roman"/>
          <w:sz w:val="24"/>
          <w:szCs w:val="24"/>
          <w:lang w:val="es-EC"/>
        </w:rPr>
      </w:pPr>
      <w:r w:rsidRPr="006845C3">
        <w:rPr>
          <w:rFonts w:ascii="Times New Roman" w:hAnsi="Times New Roman" w:cs="Times New Roman"/>
          <w:b/>
          <w:sz w:val="24"/>
          <w:szCs w:val="24"/>
        </w:rPr>
        <w:t>Que</w:t>
      </w:r>
      <w:r w:rsidRPr="006845C3">
        <w:rPr>
          <w:rFonts w:ascii="Times New Roman" w:hAnsi="Times New Roman" w:cs="Times New Roman"/>
          <w:sz w:val="24"/>
          <w:szCs w:val="24"/>
        </w:rPr>
        <w:t xml:space="preserve">, </w:t>
      </w:r>
      <w:r w:rsidRPr="006845C3">
        <w:rPr>
          <w:rFonts w:ascii="Times New Roman" w:hAnsi="Times New Roman" w:cs="Times New Roman"/>
          <w:sz w:val="24"/>
          <w:szCs w:val="24"/>
          <w:lang w:val="es-EC"/>
        </w:rPr>
        <w:t xml:space="preserve">el artículo 470 del COOTAD dispone: “El Gobierno Autónomo Descentralizado municipal o metropolitano, en cualquier división o fraccionamiento de suelo rural de expansión urbana o suelo urbano, exigirá que el propietario dote a los predios resultantes de infraestructura básica y vías de acceso, los que serán entregados al Gobierno Autónomo Descentralizado </w:t>
      </w:r>
      <w:r w:rsidRPr="006845C3">
        <w:rPr>
          <w:rFonts w:ascii="Times New Roman" w:hAnsi="Times New Roman" w:cs="Times New Roman"/>
          <w:sz w:val="24"/>
          <w:szCs w:val="24"/>
          <w:lang w:val="es-EC"/>
        </w:rPr>
        <w:lastRenderedPageBreak/>
        <w:t>municipal o metropolitano. Según el caso, se aplicará el régimen de propiedad horizontal y demás normas de convivencia existentes para el efecto, que se regularán mediante este Código y las ordenanzas”</w:t>
      </w:r>
      <w:r w:rsidR="00D948A5">
        <w:rPr>
          <w:rFonts w:ascii="Times New Roman" w:hAnsi="Times New Roman" w:cs="Times New Roman"/>
          <w:sz w:val="24"/>
          <w:szCs w:val="24"/>
          <w:lang w:val="es-EC"/>
        </w:rPr>
        <w:t>;</w:t>
      </w:r>
    </w:p>
    <w:p w:rsidR="00F30B47" w:rsidRPr="006845C3" w:rsidRDefault="00F30B47" w:rsidP="00577A03">
      <w:pPr>
        <w:pStyle w:val="Sinespaciado"/>
        <w:jc w:val="both"/>
        <w:rPr>
          <w:rFonts w:ascii="Times New Roman" w:hAnsi="Times New Roman" w:cs="Times New Roman"/>
          <w:sz w:val="24"/>
          <w:szCs w:val="24"/>
          <w:lang w:val="es-EC"/>
        </w:rPr>
      </w:pPr>
    </w:p>
    <w:p w:rsidR="00F30B47" w:rsidRPr="006845C3" w:rsidRDefault="00F30B47" w:rsidP="00577A03">
      <w:pPr>
        <w:pStyle w:val="Prrafodelista1"/>
        <w:spacing w:line="240" w:lineRule="auto"/>
        <w:ind w:left="0"/>
        <w:jc w:val="both"/>
        <w:rPr>
          <w:rFonts w:ascii="Times New Roman" w:hAnsi="Times New Roman" w:cs="Times New Roman"/>
          <w:lang w:val="es-EC" w:eastAsia="en-US"/>
        </w:rPr>
      </w:pPr>
      <w:r w:rsidRPr="006845C3">
        <w:rPr>
          <w:rFonts w:ascii="Times New Roman" w:hAnsi="Times New Roman" w:cs="Times New Roman"/>
          <w:b/>
        </w:rPr>
        <w:t>Que</w:t>
      </w:r>
      <w:r w:rsidRPr="006845C3">
        <w:rPr>
          <w:rFonts w:ascii="Times New Roman" w:hAnsi="Times New Roman" w:cs="Times New Roman"/>
        </w:rPr>
        <w:t xml:space="preserve">, </w:t>
      </w:r>
      <w:r w:rsidRPr="006845C3">
        <w:rPr>
          <w:rFonts w:ascii="Times New Roman" w:hAnsi="Times New Roman" w:cs="Times New Roman"/>
          <w:lang w:val="es-EC" w:eastAsia="en-US"/>
        </w:rPr>
        <w:t>el artículo 4 de la Ley Orgánica de Ordenamiento Territorial, Uso y Gestión del Suelo (LOOTUS) señala: “Para efectos de la aplicación de esta Ley, se utilizarán las siguientes definiciones constantes en este artículo: (…) 16) Urbanización. Es el conjunto de obras de dotación de infraestructuras, equipamientos y espacio público”;</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Que</w:t>
      </w:r>
      <w:r w:rsidRPr="006845C3">
        <w:rPr>
          <w:rFonts w:ascii="Times New Roman" w:hAnsi="Times New Roman" w:cs="Times New Roman"/>
        </w:rPr>
        <w:t>, el artículo 45 de la LOOTUS dispone: “Cargas. Son los gravámenes, imposiciones, afectaciones y cesiones obligatorias de suelo, derivados de la aplicación de los instrumentos de planeamiento urbanístico y gestión de suelo. Los pagos de las cargas al Gobierno Autónomo Descentralizado municipal o metropolitano se realizarán en dinero o en especie como: suelo urbanizado, vivienda de interés social, equipamientos comunitarios o infraestructura. Los pagos en especie no suplen el cumplimiento de las cesiones ni de las obligaciones urbanísticas, ni pueden confundirse con estas”;</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Style w:val="nrmar"/>
          <w:rFonts w:ascii="Times New Roman" w:hAnsi="Times New Roman" w:cs="Times New Roman"/>
          <w:color w:val="000000"/>
          <w:shd w:val="clear" w:color="auto" w:fill="FFFFFF"/>
        </w:rPr>
      </w:pPr>
      <w:r w:rsidRPr="006845C3">
        <w:rPr>
          <w:rFonts w:ascii="Times New Roman" w:hAnsi="Times New Roman" w:cs="Times New Roman"/>
          <w:b/>
        </w:rPr>
        <w:t>Que</w:t>
      </w:r>
      <w:r w:rsidRPr="006845C3">
        <w:rPr>
          <w:rFonts w:ascii="Times New Roman" w:hAnsi="Times New Roman" w:cs="Times New Roman"/>
        </w:rPr>
        <w:t xml:space="preserve">, </w:t>
      </w:r>
      <w:r w:rsidRPr="006845C3">
        <w:rPr>
          <w:rStyle w:val="nrmar"/>
          <w:rFonts w:ascii="Times New Roman" w:hAnsi="Times New Roman" w:cs="Times New Roman"/>
          <w:color w:val="000000"/>
          <w:shd w:val="clear" w:color="auto" w:fill="FFFFFF"/>
        </w:rPr>
        <w:t>el artículo 3 de la Ordenanza Nro. 13 de Subdivisiones Prediales, Reestructuraciones Parcelarias, Urbanizaciones y Proyectos de Interés Social Popular en la Ciudad de Riobamba señala que: “Urbanización, es la división de una parcela de terreno mayor a 10 lotes; y, de acuerdo al área que determine el sector de planeamiento, que dé a una vía pública existente o en proyecto y en la que deban construirse en forma programada, todas las obras de infraestructura, servicios públicos y de equipamiento comunitario que sean requeridos de acuerdo con las determinaciones urbanísticas del Plan de Desarrollo Urbano de la Ciudad de Riobamba”;</w:t>
      </w:r>
    </w:p>
    <w:p w:rsidR="00EE20EA" w:rsidRPr="006845C3" w:rsidRDefault="00EE20EA" w:rsidP="00577A03">
      <w:pPr>
        <w:pStyle w:val="Prrafodelista1"/>
        <w:spacing w:line="240" w:lineRule="auto"/>
        <w:ind w:left="0"/>
        <w:jc w:val="both"/>
        <w:rPr>
          <w:rStyle w:val="nrmar"/>
          <w:rFonts w:ascii="Times New Roman" w:hAnsi="Times New Roman" w:cs="Times New Roman"/>
          <w:color w:val="000000"/>
          <w:shd w:val="clear" w:color="auto" w:fill="FFFFFF"/>
        </w:rPr>
      </w:pPr>
    </w:p>
    <w:p w:rsidR="00EE20EA" w:rsidRPr="006845C3" w:rsidRDefault="00EE20EA" w:rsidP="00577A03">
      <w:pPr>
        <w:pStyle w:val="Prrafodelista1"/>
        <w:spacing w:line="240" w:lineRule="auto"/>
        <w:ind w:left="0"/>
        <w:jc w:val="both"/>
        <w:rPr>
          <w:rStyle w:val="nrmar"/>
          <w:rFonts w:ascii="Times New Roman" w:hAnsi="Times New Roman" w:cs="Times New Roman"/>
          <w:color w:val="000000"/>
          <w:shd w:val="clear" w:color="auto" w:fill="FFFFFF"/>
        </w:rPr>
      </w:pPr>
      <w:r w:rsidRPr="006845C3">
        <w:rPr>
          <w:rFonts w:ascii="Times New Roman" w:hAnsi="Times New Roman" w:cs="Times New Roman"/>
          <w:b/>
        </w:rPr>
        <w:t>Que</w:t>
      </w:r>
      <w:r w:rsidRPr="006845C3">
        <w:rPr>
          <w:rFonts w:ascii="Times New Roman" w:hAnsi="Times New Roman" w:cs="Times New Roman"/>
        </w:rPr>
        <w:t xml:space="preserve">, </w:t>
      </w:r>
      <w:r w:rsidRPr="006845C3">
        <w:rPr>
          <w:rStyle w:val="nrmar"/>
          <w:rFonts w:ascii="Times New Roman" w:hAnsi="Times New Roman" w:cs="Times New Roman"/>
          <w:color w:val="000000"/>
          <w:shd w:val="clear" w:color="auto" w:fill="FFFFFF"/>
        </w:rPr>
        <w:t xml:space="preserve">el </w:t>
      </w:r>
      <w:r w:rsidR="00F576D6" w:rsidRPr="006845C3">
        <w:rPr>
          <w:rStyle w:val="nrmar"/>
          <w:rFonts w:ascii="Times New Roman" w:hAnsi="Times New Roman" w:cs="Times New Roman"/>
          <w:color w:val="000000"/>
          <w:shd w:val="clear" w:color="auto" w:fill="FFFFFF"/>
        </w:rPr>
        <w:t>artículo</w:t>
      </w:r>
      <w:r w:rsidRPr="006845C3">
        <w:rPr>
          <w:rStyle w:val="nrmar"/>
          <w:rFonts w:ascii="Times New Roman" w:hAnsi="Times New Roman" w:cs="Times New Roman"/>
          <w:color w:val="000000"/>
          <w:shd w:val="clear" w:color="auto" w:fill="FFFFFF"/>
        </w:rPr>
        <w:t xml:space="preserve"> 10 de la Ordenanza Nro. 13 de Subdivisiones Prediales, Reestructuraciones Parcelarias, Urbanizaciones y Proyectos de Interés Social Popular en la Ciudad de Riobamba prescribe que: “</w:t>
      </w:r>
      <w:r w:rsidRPr="006845C3">
        <w:rPr>
          <w:rStyle w:val="nrmar"/>
          <w:rFonts w:ascii="Times New Roman" w:hAnsi="Times New Roman" w:cs="Times New Roman"/>
          <w:b/>
          <w:color w:val="000000"/>
          <w:shd w:val="clear" w:color="auto" w:fill="FFFFFF"/>
        </w:rPr>
        <w:t xml:space="preserve">Área de Influencia Inmediata de la ciudad de Riobamba.- </w:t>
      </w:r>
      <w:r w:rsidRPr="006845C3">
        <w:rPr>
          <w:rStyle w:val="nrmar"/>
          <w:rFonts w:ascii="Times New Roman" w:hAnsi="Times New Roman" w:cs="Times New Roman"/>
          <w:color w:val="000000"/>
          <w:shd w:val="clear" w:color="auto" w:fill="FFFFFF"/>
        </w:rPr>
        <w:t xml:space="preserve"> Esta área forma parte</w:t>
      </w:r>
      <w:r w:rsidRPr="006845C3">
        <w:rPr>
          <w:rStyle w:val="nrmar"/>
          <w:rFonts w:ascii="Times New Roman" w:hAnsi="Times New Roman" w:cs="Times New Roman"/>
          <w:b/>
          <w:color w:val="000000"/>
          <w:shd w:val="clear" w:color="auto" w:fill="FFFFFF"/>
        </w:rPr>
        <w:t xml:space="preserve"> </w:t>
      </w:r>
      <w:r w:rsidRPr="006845C3">
        <w:rPr>
          <w:rStyle w:val="nrmar"/>
          <w:rFonts w:ascii="Times New Roman" w:hAnsi="Times New Roman" w:cs="Times New Roman"/>
          <w:color w:val="000000"/>
          <w:shd w:val="clear" w:color="auto" w:fill="FFFFFF"/>
        </w:rPr>
        <w:t xml:space="preserve"> del territorio </w:t>
      </w:r>
      <w:proofErr w:type="spellStart"/>
      <w:r w:rsidRPr="006845C3">
        <w:rPr>
          <w:rStyle w:val="nrmar"/>
          <w:rFonts w:ascii="Times New Roman" w:hAnsi="Times New Roman" w:cs="Times New Roman"/>
          <w:color w:val="000000"/>
          <w:shd w:val="clear" w:color="auto" w:fill="FFFFFF"/>
        </w:rPr>
        <w:t>microregional</w:t>
      </w:r>
      <w:proofErr w:type="spellEnd"/>
      <w:r w:rsidRPr="006845C3">
        <w:rPr>
          <w:rStyle w:val="nrmar"/>
          <w:rFonts w:ascii="Times New Roman" w:hAnsi="Times New Roman" w:cs="Times New Roman"/>
          <w:color w:val="000000"/>
          <w:shd w:val="clear" w:color="auto" w:fill="FFFFFF"/>
        </w:rPr>
        <w:t xml:space="preserve">  y está constituida por el territorio rural </w:t>
      </w:r>
      <w:proofErr w:type="spellStart"/>
      <w:r w:rsidRPr="006845C3">
        <w:rPr>
          <w:rStyle w:val="nrmar"/>
          <w:rFonts w:ascii="Times New Roman" w:hAnsi="Times New Roman" w:cs="Times New Roman"/>
          <w:color w:val="000000"/>
          <w:shd w:val="clear" w:color="auto" w:fill="FFFFFF"/>
        </w:rPr>
        <w:t>microregi</w:t>
      </w:r>
      <w:r w:rsidR="00200C8F" w:rsidRPr="006845C3">
        <w:rPr>
          <w:rStyle w:val="nrmar"/>
          <w:rFonts w:ascii="Times New Roman" w:hAnsi="Times New Roman" w:cs="Times New Roman"/>
          <w:color w:val="000000"/>
          <w:shd w:val="clear" w:color="auto" w:fill="FFFFFF"/>
        </w:rPr>
        <w:t>o</w:t>
      </w:r>
      <w:r w:rsidRPr="006845C3">
        <w:rPr>
          <w:rStyle w:val="nrmar"/>
          <w:rFonts w:ascii="Times New Roman" w:hAnsi="Times New Roman" w:cs="Times New Roman"/>
          <w:color w:val="000000"/>
          <w:shd w:val="clear" w:color="auto" w:fill="FFFFFF"/>
        </w:rPr>
        <w:t>nal</w:t>
      </w:r>
      <w:proofErr w:type="spellEnd"/>
      <w:r w:rsidRPr="006845C3">
        <w:rPr>
          <w:rStyle w:val="nrmar"/>
          <w:rFonts w:ascii="Times New Roman" w:hAnsi="Times New Roman" w:cs="Times New Roman"/>
          <w:color w:val="000000"/>
          <w:shd w:val="clear" w:color="auto" w:fill="FFFFFF"/>
        </w:rPr>
        <w:t xml:space="preserve"> y está constituida por el territorio rural adyacente al perímetro urbano, en un</w:t>
      </w:r>
      <w:r w:rsidR="002D590A">
        <w:rPr>
          <w:rStyle w:val="nrmar"/>
          <w:rFonts w:ascii="Times New Roman" w:hAnsi="Times New Roman" w:cs="Times New Roman"/>
          <w:color w:val="000000"/>
          <w:shd w:val="clear" w:color="auto" w:fill="FFFFFF"/>
        </w:rPr>
        <w:t>a</w:t>
      </w:r>
      <w:r w:rsidRPr="006845C3">
        <w:rPr>
          <w:rStyle w:val="nrmar"/>
          <w:rFonts w:ascii="Times New Roman" w:hAnsi="Times New Roman" w:cs="Times New Roman"/>
          <w:color w:val="000000"/>
          <w:shd w:val="clear" w:color="auto" w:fill="FFFFFF"/>
        </w:rPr>
        <w:t xml:space="preserve"> franja de 1.000 metros de ancho, en la que se excluye el territorio sujeto a la jurisdicción del cantón Guano. Este territorio corresponde a la Ley de Desarrollo Agrario denomina</w:t>
      </w:r>
      <w:r w:rsidR="002D590A">
        <w:rPr>
          <w:rStyle w:val="nrmar"/>
          <w:rFonts w:ascii="Times New Roman" w:hAnsi="Times New Roman" w:cs="Times New Roman"/>
          <w:color w:val="000000"/>
          <w:shd w:val="clear" w:color="auto" w:fill="FFFFFF"/>
        </w:rPr>
        <w:t>da</w:t>
      </w:r>
      <w:r w:rsidRPr="006845C3">
        <w:rPr>
          <w:rStyle w:val="nrmar"/>
          <w:rFonts w:ascii="Times New Roman" w:hAnsi="Times New Roman" w:cs="Times New Roman"/>
          <w:color w:val="000000"/>
          <w:shd w:val="clear" w:color="auto" w:fill="FFFFFF"/>
        </w:rPr>
        <w:t xml:space="preserve"> “área rural de influencia de la expansión urbana”. En esta área se aplicarán las siguientes normas: 1. Se prohíbe todo tipo de fraccionamiento del suelo, salvo aquellos que hayan sido legalizados por el Concejo mediante la expedición de una Ordenanza”;</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Que</w:t>
      </w:r>
      <w:r w:rsidRPr="006845C3">
        <w:rPr>
          <w:rFonts w:ascii="Times New Roman" w:hAnsi="Times New Roman" w:cs="Times New Roman"/>
        </w:rPr>
        <w:t xml:space="preserve">, la Disposición General Primera de la Ordenanza 013-2017 que contiene el Código Urbano para el cantón Riobamba señala: “Todos los trámites de habilitación de suelo y edificación, iniciados hasta la fecha de entrada en vigencia de esta Ordenanza, continuarán con el proceso en curso, de acuerdo a la misma normativa y condiciones de zonificación, sin considerar el cambio de norma que instituye el Código Urbano. Esta disposición se aplicará también respecto del otorgamiento de permisos de habitabilidad, de propiedad horizontal o similar”; </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Que</w:t>
      </w:r>
      <w:r w:rsidRPr="006845C3">
        <w:rPr>
          <w:rFonts w:ascii="Times New Roman" w:hAnsi="Times New Roman" w:cs="Times New Roman"/>
        </w:rPr>
        <w:t>,  mediante Resolución de Concejo N° 2016-0193-SEC, de 14 de diciembre del 2016, se aprobó el anteproyecto de la Urbanización denominada “</w:t>
      </w:r>
      <w:r w:rsidRPr="006845C3">
        <w:rPr>
          <w:rFonts w:ascii="Times New Roman" w:hAnsi="Times New Roman" w:cs="Times New Roman"/>
          <w:b/>
        </w:rPr>
        <w:t>SAN PEDRO DE RIOBAMBA</w:t>
      </w:r>
      <w:r w:rsidRPr="006845C3">
        <w:rPr>
          <w:rFonts w:ascii="Times New Roman" w:hAnsi="Times New Roman" w:cs="Times New Roman"/>
        </w:rPr>
        <w:t xml:space="preserve">”, ubicada en el sector norte de la ciudad, antes parroquia Lican hoy parroquia Lizarzaburu, entre el barrio Santa Ana del Norte y las Urbanizaciones Urdesa del Norte y Tierras del Norte, antes </w:t>
      </w:r>
      <w:r w:rsidRPr="006845C3">
        <w:rPr>
          <w:rFonts w:ascii="Times New Roman" w:hAnsi="Times New Roman" w:cs="Times New Roman"/>
        </w:rPr>
        <w:lastRenderedPageBreak/>
        <w:t>área de influencia inmediata ahora zona de planeamiento Z20, de esta ciudad de Riobamba, provincia de Chimborazo;</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Que</w:t>
      </w:r>
      <w:r w:rsidRPr="006845C3">
        <w:rPr>
          <w:rFonts w:ascii="Times New Roman" w:hAnsi="Times New Roman" w:cs="Times New Roman"/>
        </w:rPr>
        <w:t>, mediante Resolución de Concejo N° 2018-0101-SEC, de 8 de agosto del 2018, mediante la cual, se aprobó el proyecto definitivo de  la Urbanización denominada “</w:t>
      </w:r>
      <w:r w:rsidRPr="006845C3">
        <w:rPr>
          <w:rFonts w:ascii="Times New Roman" w:hAnsi="Times New Roman" w:cs="Times New Roman"/>
          <w:b/>
        </w:rPr>
        <w:t>SAN PEDRO DE RIOBAMBA</w:t>
      </w:r>
      <w:r w:rsidRPr="006845C3">
        <w:rPr>
          <w:rFonts w:ascii="Times New Roman" w:hAnsi="Times New Roman" w:cs="Times New Roman"/>
        </w:rPr>
        <w:t xml:space="preserve">”, ubicada en el sector norte de la ciudad, antes parroquia Lican hoy parroquia Lizarzaburu, entre el barrio Santa Ana del Norte y las Urbanizaciones Urdesa del Norte y Tierras del Norte, antes área de influencia inmediata ahora zona de planeamiento Z20, de esta ciudad de Riobamba, provincia de Chimborazo; en base al informe técnico emitido mediante memorando No. 2018-001-DPTGEC, suscrito por el Arquitecto Ismael Soria, Líder del Subproceso de Control Territorial y Uso de Suelo, aprobado por el </w:t>
      </w:r>
      <w:proofErr w:type="spellStart"/>
      <w:r w:rsidRPr="006845C3">
        <w:rPr>
          <w:rFonts w:ascii="Times New Roman" w:hAnsi="Times New Roman" w:cs="Times New Roman"/>
        </w:rPr>
        <w:t>Mgs</w:t>
      </w:r>
      <w:proofErr w:type="spellEnd"/>
      <w:r w:rsidRPr="006845C3">
        <w:rPr>
          <w:rFonts w:ascii="Times New Roman" w:hAnsi="Times New Roman" w:cs="Times New Roman"/>
        </w:rPr>
        <w:t xml:space="preserve">. Diego </w:t>
      </w:r>
      <w:proofErr w:type="spellStart"/>
      <w:r w:rsidRPr="006845C3">
        <w:rPr>
          <w:rFonts w:ascii="Times New Roman" w:hAnsi="Times New Roman" w:cs="Times New Roman"/>
        </w:rPr>
        <w:t>Villac</w:t>
      </w:r>
      <w:r w:rsidR="0014721F">
        <w:rPr>
          <w:rFonts w:ascii="Times New Roman" w:hAnsi="Times New Roman" w:cs="Times New Roman"/>
        </w:rPr>
        <w:t>í</w:t>
      </w:r>
      <w:r w:rsidRPr="006845C3">
        <w:rPr>
          <w:rFonts w:ascii="Times New Roman" w:hAnsi="Times New Roman" w:cs="Times New Roman"/>
        </w:rPr>
        <w:t>s</w:t>
      </w:r>
      <w:proofErr w:type="spellEnd"/>
      <w:r w:rsidRPr="006845C3">
        <w:rPr>
          <w:rFonts w:ascii="Times New Roman" w:hAnsi="Times New Roman" w:cs="Times New Roman"/>
        </w:rPr>
        <w:t>, Director de Gestión de Ordenamiento Territorial; e informe jurídico según el memorando No. GADMR-PRO-PA-2018-00030-M emitid</w:t>
      </w:r>
      <w:r w:rsidR="0014721F">
        <w:rPr>
          <w:rFonts w:ascii="Times New Roman" w:hAnsi="Times New Roman" w:cs="Times New Roman"/>
        </w:rPr>
        <w:t>o</w:t>
      </w:r>
      <w:r w:rsidRPr="006845C3">
        <w:rPr>
          <w:rFonts w:ascii="Times New Roman" w:hAnsi="Times New Roman" w:cs="Times New Roman"/>
        </w:rPr>
        <w:t xml:space="preserve"> por </w:t>
      </w:r>
      <w:r w:rsidR="0014721F">
        <w:rPr>
          <w:rFonts w:ascii="Times New Roman" w:hAnsi="Times New Roman" w:cs="Times New Roman"/>
        </w:rPr>
        <w:t xml:space="preserve">la </w:t>
      </w:r>
      <w:r w:rsidRPr="006845C3">
        <w:rPr>
          <w:rFonts w:ascii="Times New Roman" w:hAnsi="Times New Roman" w:cs="Times New Roman"/>
        </w:rPr>
        <w:t>Abg. Teresa Sandoval, Abogada de Procuraduría, aprobado por la Abogada Paola Castañeada, Procuradora Síndica;</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 xml:space="preserve">Que, </w:t>
      </w:r>
      <w:r w:rsidR="00027F4A">
        <w:rPr>
          <w:rFonts w:ascii="Times New Roman" w:hAnsi="Times New Roman" w:cs="Times New Roman"/>
        </w:rPr>
        <w:t>mediante M</w:t>
      </w:r>
      <w:r w:rsidRPr="006845C3">
        <w:rPr>
          <w:rFonts w:ascii="Times New Roman" w:hAnsi="Times New Roman" w:cs="Times New Roman"/>
        </w:rPr>
        <w:t xml:space="preserve">emorando Nro. GADMR-GOP-2019-0548-M de 23 de abril del 2019, suscrito </w:t>
      </w:r>
      <w:r w:rsidR="0014721F">
        <w:rPr>
          <w:rFonts w:ascii="Times New Roman" w:hAnsi="Times New Roman" w:cs="Times New Roman"/>
        </w:rPr>
        <w:t xml:space="preserve">por el </w:t>
      </w:r>
      <w:r w:rsidRPr="006845C3">
        <w:rPr>
          <w:rFonts w:ascii="Times New Roman" w:hAnsi="Times New Roman" w:cs="Times New Roman"/>
        </w:rPr>
        <w:t>Ingeniero Edgar Medina, Director de Gestión de Obras Públicas, se  emite el aval del presupuesto y cronograma de obras de la urbanización San Pedro de Riobamba e indica principalmente lo siguiente: “(…) me permito informar que se han revisado las observaciones realizadas en el 12 de noviembre del 2018, mediante Memorando GADMR-GOP-2018-1970-M, encontrando que en la documentación adjunta al trámite, se encuentran solventadas, tanto la actualización de los estudios realizados para las obras de infraestructura sanitaria (agua potable y alcantarillado), la misma que se encuentra realizada con fecha 01 de abril de 2019, es decir se encuentra vigente a la fecha, así como la elaboración del presupuesto para la ejecución del área verde y comunal de la urbanización, encontrándose que para la ejecución de las obras de infraestructura de la Urbanización San Pedro de Riobamba, obras que son responsabilidad de ejecución por parte del Urbanizador, (…) Son dos millones treinta y nueve mil setecientos noventa y tres 76/100 dólares, inversión que se encuentra reflejada en la foja Nro. 142 del trámite. Así mismo, se ha revisado el cronograma valorado de trabajos propuesto para la ejecución de estas obras, estableciendo un plazo de 24 meses (720 días), lo que se encuentra acorde a la realidad. Por lo anteriormente descrito, me permito emitir el correspondiente AVAL, tanto al presupuesto referencial, como al cronograma de trabajos propuestos para la ejecución de las obras de infraestructura de la Urbanización San Pedro de Riobamba, señalando que, previo a la ejecución de las mismas, se deberá solicitar a esta gestión, la designación de un profesional afín para que actué en calidad de fiscalizador de las mismas, y de esta manera garantizar la adecuada ejecución de estas obras”;</w:t>
      </w:r>
    </w:p>
    <w:p w:rsidR="00F30B47" w:rsidRPr="006845C3" w:rsidRDefault="00F30B47" w:rsidP="00577A03">
      <w:pPr>
        <w:pStyle w:val="Prrafodelista1"/>
        <w:spacing w:line="240" w:lineRule="auto"/>
        <w:ind w:left="0"/>
        <w:jc w:val="both"/>
        <w:rPr>
          <w:rFonts w:ascii="Times New Roman" w:hAnsi="Times New Roman"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 xml:space="preserve">Que, </w:t>
      </w:r>
      <w:r w:rsidRPr="006845C3">
        <w:rPr>
          <w:rFonts w:ascii="Times New Roman" w:hAnsi="Times New Roman" w:cs="Times New Roman"/>
        </w:rPr>
        <w:t xml:space="preserve"> a través de memorando No. GADMR-GPOT-ACS-2019-0305, de 26 de abril del 2019, suscrito por el Arquitecto Juan Pablo </w:t>
      </w:r>
      <w:proofErr w:type="spellStart"/>
      <w:r w:rsidRPr="006845C3">
        <w:rPr>
          <w:rFonts w:ascii="Times New Roman" w:hAnsi="Times New Roman" w:cs="Times New Roman"/>
        </w:rPr>
        <w:t>Vinueza</w:t>
      </w:r>
      <w:proofErr w:type="spellEnd"/>
      <w:r w:rsidRPr="006845C3">
        <w:rPr>
          <w:rFonts w:ascii="Times New Roman" w:hAnsi="Times New Roman" w:cs="Times New Roman"/>
        </w:rPr>
        <w:t xml:space="preserve">, Líder de Equipo de Subproceso de Avalúos y Catastros avala y aprueba el informe técnico emitido a través de memorando No. GADMR-GPOT-ACS-2019-0304-M de 26 de abril de 2019 por el Ingeniero Rafael Sánchez, Especialista de Ordenamiento Territorial, en cuyo texto expresa: “(…) Una vez realizada la valoración catastral provisional para obtener el avalúo de los posibles predios que se dejarán en garantía. Los lotes que se sugiere que quedarán para cubrir la garantía  serán los siguientes: </w:t>
      </w:r>
    </w:p>
    <w:p w:rsidR="00F30B47" w:rsidRPr="006845C3" w:rsidRDefault="00F30B47" w:rsidP="00577A03">
      <w:pPr>
        <w:pStyle w:val="Prrafodelista1"/>
        <w:spacing w:line="240" w:lineRule="auto"/>
        <w:ind w:left="0"/>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973"/>
        <w:gridCol w:w="1912"/>
        <w:gridCol w:w="1835"/>
        <w:gridCol w:w="1835"/>
      </w:tblGrid>
      <w:tr w:rsidR="00F30B47" w:rsidRPr="006845C3" w:rsidTr="0078529D">
        <w:trPr>
          <w:trHeight w:val="250"/>
          <w:jc w:val="center"/>
        </w:trPr>
        <w:tc>
          <w:tcPr>
            <w:tcW w:w="1973" w:type="dxa"/>
          </w:tcPr>
          <w:p w:rsidR="00F30B47" w:rsidRPr="006845C3" w:rsidRDefault="00F30B47" w:rsidP="00577A03">
            <w:pPr>
              <w:pStyle w:val="Prrafodelista1"/>
              <w:spacing w:line="240" w:lineRule="auto"/>
              <w:ind w:left="0"/>
              <w:jc w:val="center"/>
              <w:rPr>
                <w:rFonts w:ascii="Times New Roman" w:hAnsi="Times New Roman" w:cs="Times New Roman"/>
                <w:b/>
              </w:rPr>
            </w:pPr>
            <w:r w:rsidRPr="006845C3">
              <w:rPr>
                <w:rFonts w:ascii="Times New Roman" w:hAnsi="Times New Roman" w:cs="Times New Roman"/>
                <w:b/>
              </w:rPr>
              <w:t xml:space="preserve">MANZANAS </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 xml:space="preserve">LOTES </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AREA DE LOTES</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TOTAL AVALÚO</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A</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1 al 22</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6294,2</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532007,13</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lastRenderedPageBreak/>
              <w:t>B</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23 al 44</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6144,38</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535707,33</w:t>
            </w:r>
          </w:p>
        </w:tc>
      </w:tr>
      <w:tr w:rsidR="00F30B47" w:rsidRPr="006845C3" w:rsidTr="0078529D">
        <w:trPr>
          <w:trHeight w:val="250"/>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C</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45al 52</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2153,2</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183039,2</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D</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53 al 67</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4366,11</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300309,32</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E</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68 al 76</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2429,64</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212259,8</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F</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Lotes 77al 86</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2597,6</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220268,13</w:t>
            </w:r>
          </w:p>
        </w:tc>
      </w:tr>
      <w:tr w:rsidR="00F30B47" w:rsidRPr="006845C3" w:rsidTr="0078529D">
        <w:trPr>
          <w:trHeight w:val="263"/>
          <w:jc w:val="center"/>
        </w:trPr>
        <w:tc>
          <w:tcPr>
            <w:tcW w:w="1973"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 xml:space="preserve">TOTAL </w:t>
            </w:r>
          </w:p>
        </w:tc>
        <w:tc>
          <w:tcPr>
            <w:tcW w:w="1912"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86</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23985,13</w:t>
            </w:r>
          </w:p>
        </w:tc>
        <w:tc>
          <w:tcPr>
            <w:tcW w:w="1835" w:type="dxa"/>
          </w:tcPr>
          <w:p w:rsidR="00F30B47" w:rsidRPr="006845C3" w:rsidRDefault="00F30B47"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2063590,91</w:t>
            </w:r>
          </w:p>
        </w:tc>
      </w:tr>
    </w:tbl>
    <w:p w:rsidR="00F30B47" w:rsidRDefault="00F30B47" w:rsidP="00577A03">
      <w:pPr>
        <w:pStyle w:val="Prrafodelista1"/>
        <w:spacing w:line="240" w:lineRule="auto"/>
        <w:ind w:left="0"/>
        <w:jc w:val="both"/>
        <w:rPr>
          <w:rFonts w:asciiTheme="majorHAnsi" w:hAnsiTheme="majorHAnsi" w:cs="Times New Roman"/>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rPr>
        <w:t>El valor total d</w:t>
      </w:r>
      <w:r w:rsidR="0014721F">
        <w:rPr>
          <w:rFonts w:ascii="Times New Roman" w:hAnsi="Times New Roman" w:cs="Times New Roman"/>
        </w:rPr>
        <w:t>e los lotes que se sugiere que s</w:t>
      </w:r>
      <w:r w:rsidRPr="006845C3">
        <w:rPr>
          <w:rFonts w:ascii="Times New Roman" w:hAnsi="Times New Roman" w:cs="Times New Roman"/>
        </w:rPr>
        <w:t>e dejar</w:t>
      </w:r>
      <w:r w:rsidR="0014721F">
        <w:rPr>
          <w:rFonts w:ascii="Times New Roman" w:hAnsi="Times New Roman" w:cs="Times New Roman"/>
        </w:rPr>
        <w:t>á</w:t>
      </w:r>
      <w:r w:rsidRPr="006845C3">
        <w:rPr>
          <w:rFonts w:ascii="Times New Roman" w:hAnsi="Times New Roman" w:cs="Times New Roman"/>
        </w:rPr>
        <w:t>n en garantía asciend</w:t>
      </w:r>
      <w:r w:rsidR="0014721F">
        <w:rPr>
          <w:rFonts w:ascii="Times New Roman" w:hAnsi="Times New Roman" w:cs="Times New Roman"/>
        </w:rPr>
        <w:t>e</w:t>
      </w:r>
      <w:r w:rsidRPr="006845C3">
        <w:rPr>
          <w:rFonts w:ascii="Times New Roman" w:hAnsi="Times New Roman" w:cs="Times New Roman"/>
        </w:rPr>
        <w:t xml:space="preserve"> a </w:t>
      </w:r>
      <w:r w:rsidRPr="006845C3">
        <w:rPr>
          <w:rFonts w:ascii="Times New Roman" w:hAnsi="Times New Roman" w:cs="Times New Roman"/>
          <w:b/>
        </w:rPr>
        <w:t xml:space="preserve">dos millones sesenta y tres mil quinientos noventa 91/100 dólares, 2063590,91 USD, </w:t>
      </w:r>
      <w:r w:rsidRPr="006845C3">
        <w:rPr>
          <w:rFonts w:ascii="Times New Roman" w:hAnsi="Times New Roman" w:cs="Times New Roman"/>
        </w:rPr>
        <w:t>que cubre de sobra el presupuesto referencia de las obras de infraestructura de la Urbanización, 2.039.793,76 USD”;</w:t>
      </w:r>
    </w:p>
    <w:p w:rsidR="006845C3" w:rsidRDefault="006845C3" w:rsidP="00577A03">
      <w:pPr>
        <w:pStyle w:val="Prrafodelista1"/>
        <w:spacing w:line="240" w:lineRule="auto"/>
        <w:ind w:left="0"/>
        <w:jc w:val="both"/>
        <w:rPr>
          <w:rFonts w:ascii="Times New Roman" w:hAnsi="Times New Roman" w:cs="Times New Roman"/>
          <w:b/>
        </w:rPr>
      </w:pPr>
    </w:p>
    <w:p w:rsidR="00F30B47" w:rsidRPr="006845C3" w:rsidRDefault="00F30B47" w:rsidP="00577A03">
      <w:pPr>
        <w:pStyle w:val="Prrafodelista1"/>
        <w:spacing w:line="240" w:lineRule="auto"/>
        <w:ind w:left="0"/>
        <w:jc w:val="both"/>
        <w:rPr>
          <w:rFonts w:ascii="Times New Roman" w:hAnsi="Times New Roman" w:cs="Times New Roman"/>
        </w:rPr>
      </w:pPr>
      <w:r w:rsidRPr="006845C3">
        <w:rPr>
          <w:rFonts w:ascii="Times New Roman" w:hAnsi="Times New Roman" w:cs="Times New Roman"/>
          <w:b/>
        </w:rPr>
        <w:t>Que</w:t>
      </w:r>
      <w:r w:rsidRPr="006845C3">
        <w:rPr>
          <w:rFonts w:ascii="Times New Roman" w:hAnsi="Times New Roman" w:cs="Times New Roman"/>
        </w:rPr>
        <w:t xml:space="preserve">,  mediante </w:t>
      </w:r>
      <w:r w:rsidR="00F576D6" w:rsidRPr="006845C3">
        <w:rPr>
          <w:rFonts w:ascii="Times New Roman" w:hAnsi="Times New Roman" w:cs="Times New Roman"/>
        </w:rPr>
        <w:t>M</w:t>
      </w:r>
      <w:r w:rsidR="00027F4A" w:rsidRPr="006845C3">
        <w:rPr>
          <w:rFonts w:ascii="Times New Roman" w:hAnsi="Times New Roman" w:cs="Times New Roman"/>
        </w:rPr>
        <w:t>emorando</w:t>
      </w:r>
      <w:r w:rsidR="00F576D6" w:rsidRPr="006845C3">
        <w:rPr>
          <w:rFonts w:ascii="Times New Roman" w:hAnsi="Times New Roman" w:cs="Times New Roman"/>
        </w:rPr>
        <w:t xml:space="preserve"> Nro. GADMR-PRO_PA-2019-00154-M</w:t>
      </w:r>
      <w:r w:rsidRPr="006845C3">
        <w:rPr>
          <w:rFonts w:ascii="Times New Roman" w:hAnsi="Times New Roman" w:cs="Times New Roman"/>
        </w:rPr>
        <w:t>,</w:t>
      </w:r>
      <w:r w:rsidR="00F576D6" w:rsidRPr="006845C3">
        <w:rPr>
          <w:rFonts w:ascii="Times New Roman" w:hAnsi="Times New Roman" w:cs="Times New Roman"/>
        </w:rPr>
        <w:t xml:space="preserve"> de 29 de abril del 2019,</w:t>
      </w:r>
      <w:r w:rsidRPr="006845C3">
        <w:rPr>
          <w:rFonts w:ascii="Times New Roman" w:hAnsi="Times New Roman" w:cs="Times New Roman"/>
        </w:rPr>
        <w:t xml:space="preserve"> suscrito por el Abogado Cristian  Orozco, Servidor Público 2 emite informe jurídico en el que indica lo siguiente: “</w:t>
      </w:r>
      <w:r w:rsidR="00F576D6" w:rsidRPr="006845C3">
        <w:rPr>
          <w:rFonts w:ascii="Times New Roman" w:hAnsi="Times New Roman" w:cs="Times New Roman"/>
        </w:rPr>
        <w:t xml:space="preserve">En tal virtud, una vez que se han aprobado tanto el anteproyecto y proyecto definitivo de la Urbanización “San Pedro de Riobamba” ubicada en el sector norte de la ciudad, antes parroquia </w:t>
      </w:r>
      <w:proofErr w:type="spellStart"/>
      <w:r w:rsidR="00F576D6" w:rsidRPr="006845C3">
        <w:rPr>
          <w:rFonts w:ascii="Times New Roman" w:hAnsi="Times New Roman" w:cs="Times New Roman"/>
        </w:rPr>
        <w:t>Licán</w:t>
      </w:r>
      <w:proofErr w:type="spellEnd"/>
      <w:r w:rsidR="00F576D6" w:rsidRPr="006845C3">
        <w:rPr>
          <w:rFonts w:ascii="Times New Roman" w:hAnsi="Times New Roman" w:cs="Times New Roman"/>
        </w:rPr>
        <w:t xml:space="preserve"> hoy parroquia Lizarzaburu, entre el barrio Santa Ana del Norte y las Urbanizaciones Urdesa del Norte y Tierras del Norte, antes área de influencia inmediata ahora zona de planeamiento Z20, de esta ciudad de Riobamba, provincia de Chimborazo, además de existir informe técnico favorable de la Dirección de Obras Públicas respecto al presupuesto de las obras de infraestructura y cronograma de las mismas y del Subproceso de Avalúos de la propuesta de garantía hipotecaria propuesta por los urbanizadores, al amparo de la competencia exclusiva prevista en el artículo 264 número 2 de la Constitución de la República</w:t>
      </w:r>
      <w:r w:rsidR="00FF512B" w:rsidRPr="006845C3">
        <w:rPr>
          <w:rFonts w:ascii="Times New Roman" w:hAnsi="Times New Roman" w:cs="Times New Roman"/>
        </w:rPr>
        <w:t xml:space="preserve"> del Ecuador,</w:t>
      </w:r>
      <w:r w:rsidR="00F576D6" w:rsidRPr="006845C3">
        <w:rPr>
          <w:rFonts w:ascii="Times New Roman" w:hAnsi="Times New Roman" w:cs="Times New Roman"/>
        </w:rPr>
        <w:t xml:space="preserve"> en concordancia con el artículo 55 letra b) del Código Orgánico de Organización Territorial Autonomía y Descentralización, artículos 424 y 470 del Código ibídem; en concordancia con lo preceptuado en el artículo 4 número 16 y artículo 45 de la Ley Orgánica de Ordenamiento Territorial, Uso y Gestión de Suelo; así como Disposición General Primera de la Ordenanza 013-2017 que contiene el Código Urbano para el cantón Riobamba, la Comisión de Ordenamiento Territorial Urbanismo y Vivienda está facultada para conocer el trámite de aprobación de la Ordenanza de la Urbanización denominada </w:t>
      </w:r>
      <w:r w:rsidR="00F576D6" w:rsidRPr="006845C3">
        <w:rPr>
          <w:rFonts w:ascii="Times New Roman" w:hAnsi="Times New Roman" w:cs="Times New Roman"/>
          <w:b/>
        </w:rPr>
        <w:t>“SAN PEDRO DE RIOBAMBA”</w:t>
      </w:r>
      <w:r w:rsidR="00F576D6" w:rsidRPr="006845C3">
        <w:rPr>
          <w:rFonts w:ascii="Times New Roman" w:hAnsi="Times New Roman" w:cs="Times New Roman"/>
        </w:rPr>
        <w:t>, emitiendo el respectivo dictamen e ilustrando la decisión del Concejo Municipal, a efectos de que éste órgano colegiado en Pleno proceda a la discusión y aprobación de la Ordenanza, facultad normativa consagrada en el artículo 57 letra a) del Código Orgánico de Organización Territorial Autonomía y Descentralización en concordancia con el artículo 10 de la Ordenanza 013 de Subdivisiones Prediales, Reestructuraciones Parcelari</w:t>
      </w:r>
      <w:r w:rsidR="00B44ADA">
        <w:rPr>
          <w:rFonts w:ascii="Times New Roman" w:hAnsi="Times New Roman" w:cs="Times New Roman"/>
        </w:rPr>
        <w:t>as, Urbanizaciones y Proyectos d</w:t>
      </w:r>
      <w:r w:rsidR="00F576D6" w:rsidRPr="006845C3">
        <w:rPr>
          <w:rFonts w:ascii="Times New Roman" w:hAnsi="Times New Roman" w:cs="Times New Roman"/>
        </w:rPr>
        <w:t>e Interés Social Popular en la ciudad de Riobamba. Por lo que, una vez aprobada la Ordenanza de urbanización por parte del Concejo Municipal, el expediente se remitirá a la Dirección de Gestión de Ordenamiento Territorial para el respectivo sellaje de planos, luego de lo cual, el mismo será remitido a Procuraduría Institucional para la elaboración de la minuta de constitución de hipoteca correspondiente</w:t>
      </w:r>
      <w:r w:rsidRPr="006845C3">
        <w:rPr>
          <w:rFonts w:ascii="Times New Roman" w:hAnsi="Times New Roman" w:cs="Times New Roman"/>
        </w:rPr>
        <w:t>”</w:t>
      </w:r>
      <w:r w:rsidR="00B44ADA">
        <w:rPr>
          <w:rFonts w:ascii="Times New Roman" w:hAnsi="Times New Roman" w:cs="Times New Roman"/>
        </w:rPr>
        <w:t xml:space="preserve">, informe </w:t>
      </w:r>
      <w:r w:rsidRPr="006845C3">
        <w:rPr>
          <w:rFonts w:ascii="Times New Roman" w:hAnsi="Times New Roman" w:cs="Times New Roman"/>
        </w:rPr>
        <w:t>avalado por la Abogada Paola Castañeda, Procuradora Síndica;</w:t>
      </w:r>
    </w:p>
    <w:p w:rsidR="00F326DE" w:rsidRPr="006845C3" w:rsidRDefault="00F326DE" w:rsidP="00577A03">
      <w:pPr>
        <w:pStyle w:val="Prrafodelista1"/>
        <w:spacing w:line="240" w:lineRule="auto"/>
        <w:ind w:left="0"/>
        <w:jc w:val="both"/>
        <w:rPr>
          <w:rFonts w:ascii="Times New Roman" w:hAnsi="Times New Roman" w:cs="Times New Roman"/>
        </w:rPr>
      </w:pPr>
    </w:p>
    <w:p w:rsidR="00F326DE" w:rsidRPr="006845C3" w:rsidRDefault="00F326DE" w:rsidP="00577A03">
      <w:pPr>
        <w:pStyle w:val="Prrafodelista1"/>
        <w:spacing w:line="240" w:lineRule="auto"/>
        <w:ind w:left="0"/>
        <w:jc w:val="both"/>
        <w:rPr>
          <w:rFonts w:ascii="Times New Roman" w:hAnsi="Times New Roman" w:cs="Times New Roman"/>
          <w:b/>
        </w:rPr>
      </w:pPr>
      <w:r w:rsidRPr="006845C3">
        <w:rPr>
          <w:rFonts w:ascii="Times New Roman" w:hAnsi="Times New Roman" w:cs="Times New Roman"/>
          <w:b/>
        </w:rPr>
        <w:t>Que</w:t>
      </w:r>
      <w:r w:rsidR="00EE20EA" w:rsidRPr="006845C3">
        <w:rPr>
          <w:rFonts w:ascii="Times New Roman" w:hAnsi="Times New Roman" w:cs="Times New Roman"/>
          <w:b/>
        </w:rPr>
        <w:t xml:space="preserve">, </w:t>
      </w:r>
      <w:r w:rsidR="00DF6190" w:rsidRPr="006845C3">
        <w:rPr>
          <w:rFonts w:ascii="Times New Roman" w:hAnsi="Times New Roman" w:cs="Times New Roman"/>
        </w:rPr>
        <w:t xml:space="preserve">mediante Memorando Nro. </w:t>
      </w:r>
      <w:r w:rsidR="0078529D" w:rsidRPr="006845C3">
        <w:rPr>
          <w:rFonts w:ascii="Times New Roman" w:hAnsi="Times New Roman" w:cs="Times New Roman"/>
        </w:rPr>
        <w:t>GADMR</w:t>
      </w:r>
      <w:r w:rsidR="00DF6190" w:rsidRPr="006845C3">
        <w:rPr>
          <w:rFonts w:ascii="Times New Roman" w:hAnsi="Times New Roman" w:cs="Times New Roman"/>
        </w:rPr>
        <w:t>–CC-2019-0654-M, de fecha 02 de mayo del 2019, la Comisión de Ordenamiento Territorial</w:t>
      </w:r>
      <w:r w:rsidR="0078529D" w:rsidRPr="006845C3">
        <w:rPr>
          <w:rFonts w:ascii="Times New Roman" w:hAnsi="Times New Roman" w:cs="Times New Roman"/>
        </w:rPr>
        <w:t xml:space="preserve">, Urbanismo y Vivienda, </w:t>
      </w:r>
      <w:r w:rsidR="00DF6190" w:rsidRPr="006845C3">
        <w:rPr>
          <w:rFonts w:ascii="Times New Roman" w:hAnsi="Times New Roman" w:cs="Times New Roman"/>
        </w:rPr>
        <w:t>emite el Dictamen Nro.</w:t>
      </w:r>
      <w:r w:rsidR="00B44ADA">
        <w:rPr>
          <w:rFonts w:ascii="Times New Roman" w:hAnsi="Times New Roman" w:cs="Times New Roman"/>
        </w:rPr>
        <w:t xml:space="preserve"> </w:t>
      </w:r>
      <w:r w:rsidR="00DF6190" w:rsidRPr="006845C3">
        <w:rPr>
          <w:rFonts w:ascii="Times New Roman" w:hAnsi="Times New Roman" w:cs="Times New Roman"/>
        </w:rPr>
        <w:t xml:space="preserve">2019-032-C.O.T.U.V, suscrito por el Ing. Marcelo Carrazco; Presidente de la Comisión de Ordenamiento Territorial, </w:t>
      </w:r>
      <w:r w:rsidR="00027F4A">
        <w:rPr>
          <w:rFonts w:ascii="Times New Roman" w:hAnsi="Times New Roman" w:cs="Times New Roman"/>
        </w:rPr>
        <w:t>que en su texto expresa;</w:t>
      </w:r>
      <w:r w:rsidR="00DF6190" w:rsidRPr="006845C3">
        <w:rPr>
          <w:rFonts w:ascii="Times New Roman" w:hAnsi="Times New Roman" w:cs="Times New Roman"/>
        </w:rPr>
        <w:t xml:space="preserve"> </w:t>
      </w:r>
      <w:r w:rsidR="00027F4A">
        <w:rPr>
          <w:rFonts w:ascii="Times New Roman" w:hAnsi="Times New Roman" w:cs="Times New Roman"/>
        </w:rPr>
        <w:t>“</w:t>
      </w:r>
      <w:r w:rsidR="00DF6190" w:rsidRPr="006845C3">
        <w:rPr>
          <w:rFonts w:ascii="Times New Roman" w:hAnsi="Times New Roman" w:cs="Times New Roman"/>
        </w:rPr>
        <w:t xml:space="preserve">Acoger </w:t>
      </w:r>
      <w:r w:rsidR="000D0D7F" w:rsidRPr="006845C3">
        <w:rPr>
          <w:rFonts w:ascii="Times New Roman" w:hAnsi="Times New Roman" w:cs="Times New Roman"/>
        </w:rPr>
        <w:t>los informes técnicos según Memorando Nro. GADMR-GOP-2019- 0548-M, suscripto por el Ing. Edgar Medina. Director General de Gestión de Obras Públicas; Memorando Nro. GADMR –</w:t>
      </w:r>
      <w:r w:rsidR="008650E2">
        <w:rPr>
          <w:rFonts w:ascii="Times New Roman" w:hAnsi="Times New Roman" w:cs="Times New Roman"/>
        </w:rPr>
        <w:t>GPOT-ACS-2019-0304-</w:t>
      </w:r>
      <w:r w:rsidR="000D0D7F" w:rsidRPr="006845C3">
        <w:rPr>
          <w:rFonts w:ascii="Times New Roman" w:hAnsi="Times New Roman" w:cs="Times New Roman"/>
        </w:rPr>
        <w:lastRenderedPageBreak/>
        <w:t>M</w:t>
      </w:r>
      <w:r w:rsidR="008650E2">
        <w:rPr>
          <w:rFonts w:ascii="Times New Roman" w:hAnsi="Times New Roman" w:cs="Times New Roman"/>
        </w:rPr>
        <w:t>,</w:t>
      </w:r>
      <w:r w:rsidR="000D0D7F" w:rsidRPr="006845C3">
        <w:rPr>
          <w:rFonts w:ascii="Times New Roman" w:hAnsi="Times New Roman" w:cs="Times New Roman"/>
        </w:rPr>
        <w:t xml:space="preserve"> suscrito por el Ing. Rafael Sánchez, especialista de Ordenamiento Territorial; </w:t>
      </w:r>
      <w:r w:rsidR="0070505E" w:rsidRPr="006845C3">
        <w:rPr>
          <w:rFonts w:ascii="Times New Roman" w:hAnsi="Times New Roman" w:cs="Times New Roman"/>
        </w:rPr>
        <w:t>así como también</w:t>
      </w:r>
      <w:r w:rsidR="000D0D7F" w:rsidRPr="006845C3">
        <w:rPr>
          <w:rFonts w:ascii="Times New Roman" w:hAnsi="Times New Roman" w:cs="Times New Roman"/>
        </w:rPr>
        <w:t xml:space="preserve"> el informe jurídico según el Memorando Nro. GADMR-AJ-2019-1002-M, emitido </w:t>
      </w:r>
      <w:r w:rsidR="008650E2">
        <w:rPr>
          <w:rFonts w:ascii="Times New Roman" w:hAnsi="Times New Roman" w:cs="Times New Roman"/>
        </w:rPr>
        <w:t>por el</w:t>
      </w:r>
      <w:r w:rsidR="000D0D7F" w:rsidRPr="006845C3">
        <w:rPr>
          <w:rFonts w:ascii="Times New Roman" w:hAnsi="Times New Roman" w:cs="Times New Roman"/>
        </w:rPr>
        <w:t xml:space="preserve"> Abg. Cristian Orozco, Servidor </w:t>
      </w:r>
      <w:r w:rsidR="0070505E" w:rsidRPr="006845C3">
        <w:rPr>
          <w:rFonts w:ascii="Times New Roman" w:hAnsi="Times New Roman" w:cs="Times New Roman"/>
        </w:rPr>
        <w:t>Público</w:t>
      </w:r>
      <w:r w:rsidR="0078529D" w:rsidRPr="006845C3">
        <w:rPr>
          <w:rFonts w:ascii="Times New Roman" w:hAnsi="Times New Roman" w:cs="Times New Roman"/>
        </w:rPr>
        <w:t xml:space="preserve"> 2, revisado y a</w:t>
      </w:r>
      <w:r w:rsidR="000D0D7F" w:rsidRPr="006845C3">
        <w:rPr>
          <w:rFonts w:ascii="Times New Roman" w:hAnsi="Times New Roman" w:cs="Times New Roman"/>
        </w:rPr>
        <w:t>probado debidamente por la Abg. Paola Castañeda; Procuradora S</w:t>
      </w:r>
      <w:r w:rsidR="0078529D" w:rsidRPr="006845C3">
        <w:rPr>
          <w:rFonts w:ascii="Times New Roman" w:hAnsi="Times New Roman" w:cs="Times New Roman"/>
        </w:rPr>
        <w:t>índica;</w:t>
      </w:r>
      <w:r w:rsidR="000D0D7F" w:rsidRPr="006845C3">
        <w:rPr>
          <w:rFonts w:ascii="Times New Roman" w:hAnsi="Times New Roman" w:cs="Times New Roman"/>
        </w:rPr>
        <w:t xml:space="preserve"> concluyendo que los informes como motiva</w:t>
      </w:r>
      <w:r w:rsidR="0070505E" w:rsidRPr="006845C3">
        <w:rPr>
          <w:rFonts w:ascii="Times New Roman" w:hAnsi="Times New Roman" w:cs="Times New Roman"/>
        </w:rPr>
        <w:t xml:space="preserve">ntes de la viabilidad del trámite en mención son de responsabilidad de quienes </w:t>
      </w:r>
      <w:r w:rsidR="0078529D" w:rsidRPr="006845C3">
        <w:rPr>
          <w:rFonts w:ascii="Times New Roman" w:hAnsi="Times New Roman" w:cs="Times New Roman"/>
        </w:rPr>
        <w:t>los generan</w:t>
      </w:r>
      <w:r w:rsidR="0070505E" w:rsidRPr="006845C3">
        <w:rPr>
          <w:rFonts w:ascii="Times New Roman" w:hAnsi="Times New Roman" w:cs="Times New Roman"/>
        </w:rPr>
        <w:t>, entendiéndose que tanto técnica como jurídicamente se encuentran en la estricta observancia del marco normativo vige</w:t>
      </w:r>
      <w:r w:rsidR="0078529D" w:rsidRPr="006845C3">
        <w:rPr>
          <w:rFonts w:ascii="Times New Roman" w:hAnsi="Times New Roman" w:cs="Times New Roman"/>
        </w:rPr>
        <w:t>nte</w:t>
      </w:r>
      <w:r w:rsidR="0070505E" w:rsidRPr="006845C3">
        <w:rPr>
          <w:rFonts w:ascii="Times New Roman" w:hAnsi="Times New Roman" w:cs="Times New Roman"/>
        </w:rPr>
        <w:t>, mismos que ha</w:t>
      </w:r>
      <w:r w:rsidR="008650E2">
        <w:rPr>
          <w:rFonts w:ascii="Times New Roman" w:hAnsi="Times New Roman" w:cs="Times New Roman"/>
        </w:rPr>
        <w:t>n</w:t>
      </w:r>
      <w:r w:rsidR="0070505E" w:rsidRPr="006845C3">
        <w:rPr>
          <w:rFonts w:ascii="Times New Roman" w:hAnsi="Times New Roman" w:cs="Times New Roman"/>
        </w:rPr>
        <w:t xml:space="preserve"> sido presentado</w:t>
      </w:r>
      <w:r w:rsidR="008650E2">
        <w:rPr>
          <w:rFonts w:ascii="Times New Roman" w:hAnsi="Times New Roman" w:cs="Times New Roman"/>
        </w:rPr>
        <w:t>s con</w:t>
      </w:r>
      <w:r w:rsidR="0078529D" w:rsidRPr="006845C3">
        <w:rPr>
          <w:rFonts w:ascii="Times New Roman" w:hAnsi="Times New Roman" w:cs="Times New Roman"/>
        </w:rPr>
        <w:t xml:space="preserve"> criterio favorable, y</w:t>
      </w:r>
      <w:r w:rsidR="0070505E" w:rsidRPr="006845C3">
        <w:rPr>
          <w:rFonts w:ascii="Times New Roman" w:hAnsi="Times New Roman" w:cs="Times New Roman"/>
        </w:rPr>
        <w:t xml:space="preserve"> amparados</w:t>
      </w:r>
      <w:r w:rsidR="008650E2">
        <w:rPr>
          <w:rFonts w:ascii="Times New Roman" w:hAnsi="Times New Roman" w:cs="Times New Roman"/>
        </w:rPr>
        <w:t xml:space="preserve"> </w:t>
      </w:r>
      <w:r w:rsidR="0070505E" w:rsidRPr="006845C3">
        <w:rPr>
          <w:rFonts w:ascii="Times New Roman" w:hAnsi="Times New Roman" w:cs="Times New Roman"/>
        </w:rPr>
        <w:t xml:space="preserve"> en la base legal constante en el informe jurídico, se remite el expediente completo y la PROPUESTA DE ORDENANZA DE LA URBANIZACIÓN “SAN PEDRO DE RIOBAMBA” a usted Señor Alcalde para que por su digno intermedio se ponga en conocimient</w:t>
      </w:r>
      <w:r w:rsidR="008650E2">
        <w:rPr>
          <w:rFonts w:ascii="Times New Roman" w:hAnsi="Times New Roman" w:cs="Times New Roman"/>
        </w:rPr>
        <w:t>o del Concejo Municipal para su</w:t>
      </w:r>
      <w:r w:rsidR="0070505E" w:rsidRPr="006845C3">
        <w:rPr>
          <w:rFonts w:ascii="Times New Roman" w:hAnsi="Times New Roman" w:cs="Times New Roman"/>
        </w:rPr>
        <w:t xml:space="preserve"> análisis y resolución</w:t>
      </w:r>
      <w:r w:rsidR="00027F4A">
        <w:rPr>
          <w:rFonts w:ascii="Times New Roman" w:hAnsi="Times New Roman" w:cs="Times New Roman"/>
        </w:rPr>
        <w:t xml:space="preserve"> pertinente”.</w:t>
      </w:r>
      <w:r w:rsidR="0070505E" w:rsidRPr="006845C3">
        <w:rPr>
          <w:rFonts w:ascii="Times New Roman" w:hAnsi="Times New Roman" w:cs="Times New Roman"/>
        </w:rPr>
        <w:t xml:space="preserve">        </w:t>
      </w:r>
      <w:r w:rsidR="0070505E" w:rsidRPr="006845C3">
        <w:rPr>
          <w:rFonts w:ascii="Times New Roman" w:hAnsi="Times New Roman" w:cs="Times New Roman"/>
          <w:b/>
        </w:rPr>
        <w:t xml:space="preserve"> </w:t>
      </w:r>
    </w:p>
    <w:p w:rsidR="00F30B47" w:rsidRPr="006845C3" w:rsidRDefault="00F30B47" w:rsidP="00577A03">
      <w:pPr>
        <w:pStyle w:val="xmsonospacing"/>
        <w:jc w:val="both"/>
        <w:rPr>
          <w:lang w:val="es-ES"/>
        </w:rPr>
      </w:pPr>
      <w:r w:rsidRPr="006845C3">
        <w:rPr>
          <w:b/>
          <w:lang w:val="es-ES"/>
        </w:rPr>
        <w:t>Que,</w:t>
      </w:r>
      <w:r w:rsidRPr="006845C3">
        <w:rPr>
          <w:lang w:val="es-ES"/>
        </w:rPr>
        <w:t xml:space="preserve"> la Constitución de la República del Ecuador garantiza el derecho a un hábitat seguro y saludable, y a una vivienda adecuada y digna; siendo la habilitación del suelo un procedimiento previo en el cual se exige al urbanizador la dotación de infraestructura, equipamiento y espacio público, lo cual permitirá a sus propietarios posteriormente edificar sus viviendas al amparo de las normas dictadas por el Gobierno Autónomo Descentralizado Municipal en ejercicio de la facultad de control sobre el uso y ocupación</w:t>
      </w:r>
      <w:r w:rsidR="0078529D" w:rsidRPr="006845C3">
        <w:rPr>
          <w:lang w:val="es-ES"/>
        </w:rPr>
        <w:t xml:space="preserve"> </w:t>
      </w:r>
      <w:r w:rsidRPr="006845C3">
        <w:rPr>
          <w:lang w:val="es-ES"/>
        </w:rPr>
        <w:t xml:space="preserve">del suelo, y consecuentemente materializar dicho derecho para sí y sus familias; en este contexto, el Concejo Municipal en uso de sus atribuciones se encuentra facultado para autorizar la urbanización de predios que cumplen con los requisitos de la normativa nacional y local, y cuenten con los correspondientes estudios aprobados para la construcción de las obras de infraestructura acorde a lo dispuesto en el artículo 470 del Código Orgánico de Organización Territorial, Autonomía y Descentralización, y que garanticen  la transferencia de vías y espacios públicos a favor de la ciudadanía, como es el caso de la Urbanización </w:t>
      </w:r>
      <w:r w:rsidRPr="006845C3">
        <w:rPr>
          <w:b/>
          <w:lang w:val="es-ES"/>
        </w:rPr>
        <w:t>“SAN PEDRO DE RIOBAMBA”,</w:t>
      </w:r>
      <w:r w:rsidRPr="006845C3">
        <w:rPr>
          <w:lang w:val="es-ES"/>
        </w:rPr>
        <w:t xml:space="preserve"> a desarrollarse en el predio de propiedad </w:t>
      </w:r>
      <w:r w:rsidR="00656A20" w:rsidRPr="006845C3">
        <w:rPr>
          <w:lang w:val="es-ES"/>
        </w:rPr>
        <w:t xml:space="preserve">de </w:t>
      </w:r>
      <w:r w:rsidR="00656A20" w:rsidRPr="006845C3">
        <w:t xml:space="preserve">la Cooperativa de Vivienda San Pedro de Riobamba, representada por el señor Mario Eduardo Reinoso </w:t>
      </w:r>
      <w:r w:rsidR="00EE20EA" w:rsidRPr="006845C3">
        <w:t>Vásquez</w:t>
      </w:r>
      <w:r w:rsidRPr="006845C3">
        <w:rPr>
          <w:lang w:val="es-ES"/>
        </w:rPr>
        <w:t xml:space="preserve">, </w:t>
      </w:r>
      <w:r w:rsidR="00656A20" w:rsidRPr="006845C3">
        <w:rPr>
          <w:lang w:val="es-ES"/>
        </w:rPr>
        <w:t>cumple con los presupuesto</w:t>
      </w:r>
      <w:r w:rsidR="00B44ADA">
        <w:rPr>
          <w:lang w:val="es-ES"/>
        </w:rPr>
        <w:t>s</w:t>
      </w:r>
      <w:r w:rsidR="00656A20" w:rsidRPr="006845C3">
        <w:rPr>
          <w:lang w:val="es-ES"/>
        </w:rPr>
        <w:t xml:space="preserve"> técnico y jurídico previsto en el Ordenamiento Jurídico local y nacional, siendo por tanto pertinente y adecuada su aprobación;   </w:t>
      </w:r>
    </w:p>
    <w:p w:rsidR="00F30B47" w:rsidRPr="006845C3" w:rsidRDefault="00F30B47" w:rsidP="00577A03">
      <w:pPr>
        <w:pStyle w:val="Sinespaciado"/>
        <w:jc w:val="both"/>
        <w:rPr>
          <w:rFonts w:ascii="Times New Roman" w:hAnsi="Times New Roman" w:cs="Times New Roman"/>
          <w:sz w:val="24"/>
          <w:szCs w:val="24"/>
          <w:lang w:eastAsia="es-EC"/>
        </w:rPr>
      </w:pPr>
      <w:r w:rsidRPr="006845C3">
        <w:rPr>
          <w:rFonts w:ascii="Times New Roman" w:hAnsi="Times New Roman" w:cs="Times New Roman"/>
          <w:sz w:val="24"/>
          <w:szCs w:val="24"/>
          <w:lang w:eastAsia="es-EC"/>
        </w:rPr>
        <w:t xml:space="preserve">En uso de las atribuciones que le confiere  el artículo 57 literal a)  del Código Orgánico de Organización Territorial,  Autonomía y Descentralización. </w:t>
      </w:r>
    </w:p>
    <w:p w:rsidR="00F30B47" w:rsidRDefault="00F30B47" w:rsidP="00577A03">
      <w:pPr>
        <w:pStyle w:val="Sinespaciado"/>
        <w:jc w:val="both"/>
        <w:rPr>
          <w:rFonts w:ascii="Times New Roman" w:hAnsi="Times New Roman" w:cs="Times New Roman"/>
          <w:sz w:val="24"/>
          <w:szCs w:val="24"/>
          <w:lang w:eastAsia="es-EC"/>
        </w:rPr>
      </w:pPr>
    </w:p>
    <w:p w:rsidR="00577A03" w:rsidRDefault="00577A03" w:rsidP="00577A03">
      <w:pPr>
        <w:pStyle w:val="Sinespaciado"/>
        <w:jc w:val="both"/>
        <w:rPr>
          <w:rFonts w:ascii="Times New Roman" w:hAnsi="Times New Roman" w:cs="Times New Roman"/>
          <w:sz w:val="24"/>
          <w:szCs w:val="24"/>
          <w:lang w:eastAsia="es-EC"/>
        </w:rPr>
      </w:pPr>
    </w:p>
    <w:p w:rsidR="00577A03" w:rsidRPr="006845C3" w:rsidRDefault="00577A03" w:rsidP="00577A03">
      <w:pPr>
        <w:pStyle w:val="Sinespaciado"/>
        <w:jc w:val="both"/>
        <w:rPr>
          <w:rFonts w:ascii="Times New Roman" w:hAnsi="Times New Roman" w:cs="Times New Roman"/>
          <w:sz w:val="24"/>
          <w:szCs w:val="24"/>
          <w:lang w:eastAsia="es-EC"/>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EXPIDE:</w:t>
      </w:r>
    </w:p>
    <w:p w:rsidR="00F30B47" w:rsidRPr="006845C3" w:rsidRDefault="00F30B47" w:rsidP="00577A03">
      <w:pPr>
        <w:pStyle w:val="Sinespaciado"/>
        <w:jc w:val="center"/>
        <w:rPr>
          <w:rFonts w:ascii="Times New Roman" w:hAnsi="Times New Roman" w:cs="Times New Roman"/>
          <w:b/>
          <w:sz w:val="24"/>
          <w:szCs w:val="24"/>
        </w:rPr>
      </w:pPr>
    </w:p>
    <w:p w:rsidR="00F30B47" w:rsidRPr="006845C3" w:rsidRDefault="00F30B47" w:rsidP="00577A03">
      <w:pPr>
        <w:pStyle w:val="Cuadrculamedia21"/>
        <w:jc w:val="both"/>
        <w:rPr>
          <w:rFonts w:ascii="Times New Roman" w:hAnsi="Times New Roman" w:cs="Times New Roman"/>
          <w:b/>
          <w:color w:val="000000"/>
          <w:sz w:val="24"/>
          <w:szCs w:val="24"/>
        </w:rPr>
      </w:pPr>
      <w:r w:rsidRPr="006845C3">
        <w:rPr>
          <w:rFonts w:ascii="Times New Roman" w:hAnsi="Times New Roman" w:cs="Times New Roman"/>
          <w:b/>
          <w:sz w:val="24"/>
          <w:szCs w:val="24"/>
        </w:rPr>
        <w:t xml:space="preserve">LA ORDENANZA DE LA </w:t>
      </w:r>
      <w:r w:rsidR="00656A20" w:rsidRPr="006845C3">
        <w:rPr>
          <w:rFonts w:ascii="Times New Roman" w:hAnsi="Times New Roman" w:cs="Times New Roman"/>
          <w:b/>
          <w:sz w:val="24"/>
          <w:szCs w:val="24"/>
        </w:rPr>
        <w:t xml:space="preserve">URBANIZACIÓN “SAN PEDRO DE </w:t>
      </w:r>
      <w:r w:rsidR="008828A8" w:rsidRPr="006845C3">
        <w:rPr>
          <w:rFonts w:ascii="Times New Roman" w:hAnsi="Times New Roman" w:cs="Times New Roman"/>
          <w:b/>
          <w:sz w:val="24"/>
          <w:szCs w:val="24"/>
        </w:rPr>
        <w:t>RIOBAMBA”</w:t>
      </w:r>
      <w:r w:rsidR="00656A20" w:rsidRPr="006845C3">
        <w:rPr>
          <w:rFonts w:ascii="Times New Roman" w:hAnsi="Times New Roman" w:cs="Times New Roman"/>
          <w:b/>
          <w:sz w:val="24"/>
          <w:szCs w:val="24"/>
        </w:rPr>
        <w:t>, UBICADA EN EL SECTOR NORTE DE LA CIUDAD, ANTES PARROQUIA LICAN HOY PARROQUIA LIZARZABURU, ENTRE EL BARRIO SANTA ANA DEL NORTE Y LAS URBANIZACIONES URDESA DEL NORTE Y TIERRAS DEL NORTE, ANTES ÁREA DE INFLUENCIA INMEDIATA AHORA ZONA DE PLANEAMIENTO Z20, DE ESTA CIUDAD DE RIOBAMBA, PROVINCIA DE CHIMBORAZO.</w:t>
      </w:r>
    </w:p>
    <w:p w:rsidR="00F30B47" w:rsidRDefault="00F30B47" w:rsidP="00577A03">
      <w:pPr>
        <w:pStyle w:val="Sinespaciado"/>
        <w:jc w:val="both"/>
        <w:rPr>
          <w:rFonts w:ascii="Times New Roman" w:hAnsi="Times New Roman" w:cs="Times New Roman"/>
          <w:b/>
          <w:sz w:val="24"/>
          <w:szCs w:val="24"/>
        </w:rPr>
      </w:pPr>
    </w:p>
    <w:p w:rsidR="00577A03" w:rsidRDefault="00577A03" w:rsidP="00577A03">
      <w:pPr>
        <w:pStyle w:val="Sinespaciado"/>
        <w:jc w:val="both"/>
        <w:rPr>
          <w:rFonts w:ascii="Times New Roman" w:hAnsi="Times New Roman" w:cs="Times New Roman"/>
          <w:b/>
          <w:sz w:val="24"/>
          <w:szCs w:val="24"/>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CAPÍTULO I</w:t>
      </w:r>
    </w:p>
    <w:p w:rsidR="00F30B47" w:rsidRPr="006845C3" w:rsidRDefault="00F30B47" w:rsidP="00577A03">
      <w:pPr>
        <w:pStyle w:val="Sinespaciado"/>
        <w:jc w:val="both"/>
        <w:rPr>
          <w:rFonts w:ascii="Times New Roman" w:hAnsi="Times New Roman" w:cs="Times New Roman"/>
          <w:bCs/>
          <w:sz w:val="24"/>
          <w:szCs w:val="24"/>
        </w:rPr>
      </w:pPr>
    </w:p>
    <w:p w:rsidR="00F30B47" w:rsidRPr="006845C3" w:rsidRDefault="00F30B47"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b/>
          <w:sz w:val="24"/>
          <w:szCs w:val="24"/>
        </w:rPr>
        <w:t>Art</w:t>
      </w:r>
      <w:r w:rsidR="00B44ADA">
        <w:rPr>
          <w:rFonts w:ascii="Times New Roman" w:hAnsi="Times New Roman" w:cs="Times New Roman"/>
          <w:b/>
          <w:sz w:val="24"/>
          <w:szCs w:val="24"/>
        </w:rPr>
        <w:t>ículo</w:t>
      </w:r>
      <w:r w:rsidRPr="006845C3">
        <w:rPr>
          <w:rFonts w:ascii="Times New Roman" w:hAnsi="Times New Roman" w:cs="Times New Roman"/>
          <w:b/>
          <w:sz w:val="24"/>
          <w:szCs w:val="24"/>
        </w:rPr>
        <w:t xml:space="preserve"> 1.-</w:t>
      </w:r>
      <w:r w:rsidRPr="006845C3">
        <w:rPr>
          <w:rFonts w:ascii="Times New Roman" w:hAnsi="Times New Roman" w:cs="Times New Roman"/>
          <w:sz w:val="24"/>
          <w:szCs w:val="24"/>
        </w:rPr>
        <w:t xml:space="preserve"> </w:t>
      </w:r>
      <w:r w:rsidRPr="006845C3">
        <w:rPr>
          <w:rFonts w:ascii="Times New Roman" w:hAnsi="Times New Roman" w:cs="Times New Roman"/>
          <w:color w:val="000000"/>
          <w:sz w:val="24"/>
          <w:szCs w:val="24"/>
        </w:rPr>
        <w:t xml:space="preserve">Facúltese </w:t>
      </w:r>
      <w:r w:rsidR="00F00AC6" w:rsidRPr="006845C3">
        <w:rPr>
          <w:rFonts w:ascii="Times New Roman" w:hAnsi="Times New Roman" w:cs="Times New Roman"/>
          <w:color w:val="000000"/>
          <w:sz w:val="24"/>
          <w:szCs w:val="24"/>
        </w:rPr>
        <w:t>a la Cooperativa de Vivienda “San Pedro de Riobamba”</w:t>
      </w:r>
      <w:r w:rsidRPr="006845C3">
        <w:rPr>
          <w:rFonts w:ascii="Times New Roman" w:hAnsi="Times New Roman" w:cs="Times New Roman"/>
          <w:color w:val="000000"/>
          <w:sz w:val="24"/>
          <w:szCs w:val="24"/>
        </w:rPr>
        <w:t xml:space="preserve"> </w:t>
      </w:r>
      <w:r w:rsidR="00F00AC6" w:rsidRPr="006845C3">
        <w:rPr>
          <w:rFonts w:ascii="Times New Roman" w:hAnsi="Times New Roman" w:cs="Times New Roman"/>
          <w:color w:val="000000"/>
          <w:sz w:val="24"/>
          <w:szCs w:val="24"/>
        </w:rPr>
        <w:t>propietaria</w:t>
      </w:r>
      <w:r w:rsidRPr="006845C3">
        <w:rPr>
          <w:rFonts w:ascii="Times New Roman" w:hAnsi="Times New Roman" w:cs="Times New Roman"/>
          <w:color w:val="000000"/>
          <w:sz w:val="24"/>
          <w:szCs w:val="24"/>
        </w:rPr>
        <w:t xml:space="preserve"> de la urbanización</w:t>
      </w:r>
      <w:r w:rsidR="00F00AC6" w:rsidRPr="006845C3">
        <w:rPr>
          <w:rFonts w:ascii="Times New Roman" w:hAnsi="Times New Roman" w:cs="Times New Roman"/>
          <w:color w:val="000000"/>
          <w:sz w:val="24"/>
          <w:szCs w:val="24"/>
        </w:rPr>
        <w:t xml:space="preserve"> “San Pedro de Riobamba” </w:t>
      </w:r>
      <w:r w:rsidRPr="006845C3">
        <w:rPr>
          <w:rFonts w:ascii="Times New Roman" w:hAnsi="Times New Roman" w:cs="Times New Roman"/>
          <w:color w:val="000000"/>
          <w:sz w:val="24"/>
          <w:szCs w:val="24"/>
        </w:rPr>
        <w:t xml:space="preserve">para que urbanice el inmueble ubicado </w:t>
      </w:r>
      <w:r w:rsidR="00F00AC6" w:rsidRPr="006845C3">
        <w:rPr>
          <w:rFonts w:ascii="Times New Roman" w:hAnsi="Times New Roman" w:cs="Times New Roman"/>
          <w:sz w:val="24"/>
          <w:szCs w:val="24"/>
        </w:rPr>
        <w:t xml:space="preserve">en el sector </w:t>
      </w:r>
      <w:r w:rsidR="00F00AC6" w:rsidRPr="006845C3">
        <w:rPr>
          <w:rFonts w:ascii="Times New Roman" w:hAnsi="Times New Roman" w:cs="Times New Roman"/>
          <w:sz w:val="24"/>
          <w:szCs w:val="24"/>
        </w:rPr>
        <w:lastRenderedPageBreak/>
        <w:t xml:space="preserve">norte de la ciudad, antes parroquia </w:t>
      </w:r>
      <w:proofErr w:type="spellStart"/>
      <w:r w:rsidR="00F576D6" w:rsidRPr="006845C3">
        <w:rPr>
          <w:rFonts w:ascii="Times New Roman" w:hAnsi="Times New Roman" w:cs="Times New Roman"/>
          <w:sz w:val="24"/>
          <w:szCs w:val="24"/>
        </w:rPr>
        <w:t>Licán</w:t>
      </w:r>
      <w:proofErr w:type="spellEnd"/>
      <w:r w:rsidR="00F00AC6" w:rsidRPr="006845C3">
        <w:rPr>
          <w:rFonts w:ascii="Times New Roman" w:hAnsi="Times New Roman" w:cs="Times New Roman"/>
          <w:sz w:val="24"/>
          <w:szCs w:val="24"/>
        </w:rPr>
        <w:t xml:space="preserve"> hoy parroquia Lizarzaburu, entre el barrio Santa Ana del Norte y las Urbanizaciones Urdesa del Norte y Tierras del Norte, antes área de influencia inmediata ahora zona de planeamiento Z20, de esta ciudad de Riobamba, provincia de Chimborazo</w:t>
      </w:r>
      <w:r w:rsidRPr="006845C3">
        <w:rPr>
          <w:rFonts w:ascii="Times New Roman" w:hAnsi="Times New Roman" w:cs="Times New Roman"/>
          <w:color w:val="000000"/>
          <w:sz w:val="24"/>
          <w:szCs w:val="24"/>
        </w:rPr>
        <w:t>.</w:t>
      </w:r>
    </w:p>
    <w:p w:rsidR="00F30B47" w:rsidRPr="006845C3" w:rsidRDefault="00B44ADA"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w:t>
      </w:r>
      <w:r w:rsidR="00F30B47" w:rsidRPr="006845C3">
        <w:rPr>
          <w:rFonts w:ascii="Times New Roman" w:hAnsi="Times New Roman" w:cs="Times New Roman"/>
          <w:sz w:val="24"/>
          <w:szCs w:val="24"/>
        </w:rPr>
        <w:t xml:space="preserve"> </w:t>
      </w:r>
      <w:r w:rsidR="00F30B47" w:rsidRPr="006845C3">
        <w:rPr>
          <w:rFonts w:ascii="Times New Roman" w:hAnsi="Times New Roman" w:cs="Times New Roman"/>
          <w:color w:val="000000"/>
          <w:sz w:val="24"/>
          <w:szCs w:val="24"/>
        </w:rPr>
        <w:t>El inmueble cuya Urbanización ha sido solicitada tiene un</w:t>
      </w:r>
      <w:r w:rsidR="00FF512B" w:rsidRPr="006845C3">
        <w:rPr>
          <w:rFonts w:ascii="Times New Roman" w:hAnsi="Times New Roman" w:cs="Times New Roman"/>
          <w:color w:val="000000"/>
          <w:sz w:val="24"/>
          <w:szCs w:val="24"/>
        </w:rPr>
        <w:t xml:space="preserve">a superficie total de </w:t>
      </w:r>
      <w:r w:rsidR="006C58C4" w:rsidRPr="006845C3">
        <w:rPr>
          <w:rFonts w:ascii="Times New Roman" w:hAnsi="Times New Roman" w:cs="Times New Roman"/>
          <w:color w:val="000000"/>
          <w:sz w:val="24"/>
          <w:szCs w:val="24"/>
        </w:rPr>
        <w:t xml:space="preserve">14 hectáreas (140.000 metros cuadrados) </w:t>
      </w:r>
      <w:r w:rsidR="00F30B47" w:rsidRPr="006845C3">
        <w:rPr>
          <w:rFonts w:ascii="Times New Roman" w:hAnsi="Times New Roman" w:cs="Times New Roman"/>
          <w:color w:val="000000"/>
          <w:sz w:val="24"/>
          <w:szCs w:val="24"/>
        </w:rPr>
        <w:t xml:space="preserve">y está conformada por </w:t>
      </w:r>
      <w:r w:rsidR="006C58C4" w:rsidRPr="006845C3">
        <w:rPr>
          <w:rFonts w:ascii="Times New Roman" w:hAnsi="Times New Roman" w:cs="Times New Roman"/>
          <w:color w:val="000000"/>
          <w:sz w:val="24"/>
          <w:szCs w:val="24"/>
        </w:rPr>
        <w:t>304</w:t>
      </w:r>
      <w:r w:rsidR="00F30B47" w:rsidRPr="006845C3">
        <w:rPr>
          <w:rFonts w:ascii="Times New Roman" w:hAnsi="Times New Roman" w:cs="Times New Roman"/>
          <w:color w:val="000000"/>
          <w:sz w:val="24"/>
          <w:szCs w:val="24"/>
        </w:rPr>
        <w:t xml:space="preserve"> lotes.</w:t>
      </w:r>
    </w:p>
    <w:p w:rsidR="00F30B47" w:rsidRPr="006845C3" w:rsidRDefault="00F30B47" w:rsidP="00577A03">
      <w:pPr>
        <w:pStyle w:val="Cuadrculamedia21"/>
        <w:jc w:val="both"/>
        <w:rPr>
          <w:rFonts w:ascii="Times New Roman" w:hAnsi="Times New Roman" w:cs="Times New Roman"/>
          <w:color w:val="000000"/>
          <w:sz w:val="24"/>
          <w:szCs w:val="24"/>
        </w:rPr>
      </w:pPr>
    </w:p>
    <w:p w:rsidR="00F30B47" w:rsidRPr="006845C3" w:rsidRDefault="00F30B47"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El predio se encuentra ubicado en  la Avenida Antonio José de Sucre (Lote 5) Vía a Guano, limitado por los siguientes linderos y dimensiones:</w:t>
      </w:r>
    </w:p>
    <w:p w:rsidR="00F30B47" w:rsidRPr="006845C3" w:rsidRDefault="00F30B47" w:rsidP="00577A03">
      <w:pPr>
        <w:pStyle w:val="Sinespaciado"/>
        <w:jc w:val="center"/>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90"/>
        <w:gridCol w:w="5103"/>
      </w:tblGrid>
      <w:tr w:rsidR="00D24809" w:rsidRPr="006845C3" w:rsidTr="006D0ECD">
        <w:trPr>
          <w:trHeight w:val="278"/>
          <w:jc w:val="center"/>
        </w:trPr>
        <w:tc>
          <w:tcPr>
            <w:tcW w:w="2090" w:type="dxa"/>
            <w:tcBorders>
              <w:top w:val="double" w:sz="6" w:space="0" w:color="auto"/>
              <w:left w:val="double" w:sz="6" w:space="0" w:color="auto"/>
              <w:bottom w:val="double" w:sz="6" w:space="0" w:color="auto"/>
              <w:right w:val="double" w:sz="6" w:space="0" w:color="auto"/>
            </w:tcBorders>
            <w:vAlign w:val="bottom"/>
          </w:tcPr>
          <w:p w:rsidR="00D24809" w:rsidRPr="006845C3" w:rsidRDefault="00D24809" w:rsidP="00577A03">
            <w:pPr>
              <w:pStyle w:val="Sinespaciado"/>
              <w:jc w:val="center"/>
              <w:rPr>
                <w:rFonts w:ascii="Times New Roman" w:eastAsia="Arial Unicode MS" w:hAnsi="Times New Roman" w:cs="Times New Roman"/>
                <w:sz w:val="24"/>
                <w:szCs w:val="24"/>
              </w:rPr>
            </w:pPr>
            <w:r w:rsidRPr="006845C3">
              <w:rPr>
                <w:rFonts w:ascii="Times New Roman" w:hAnsi="Times New Roman" w:cs="Times New Roman"/>
                <w:sz w:val="24"/>
                <w:szCs w:val="24"/>
              </w:rPr>
              <w:t>UBICACIÓN</w:t>
            </w:r>
          </w:p>
        </w:tc>
        <w:tc>
          <w:tcPr>
            <w:tcW w:w="5103" w:type="dxa"/>
            <w:tcBorders>
              <w:top w:val="double" w:sz="6" w:space="0" w:color="auto"/>
              <w:left w:val="nil"/>
              <w:bottom w:val="double" w:sz="6" w:space="0" w:color="auto"/>
              <w:right w:val="double" w:sz="6" w:space="0" w:color="auto"/>
            </w:tcBorders>
            <w:vAlign w:val="bottom"/>
          </w:tcPr>
          <w:p w:rsidR="00D24809" w:rsidRPr="006845C3" w:rsidRDefault="00D24809" w:rsidP="00577A03">
            <w:pPr>
              <w:pStyle w:val="Sinespaciado"/>
              <w:jc w:val="center"/>
              <w:rPr>
                <w:rFonts w:ascii="Times New Roman" w:eastAsia="Arial Unicode MS" w:hAnsi="Times New Roman" w:cs="Times New Roman"/>
                <w:sz w:val="24"/>
                <w:szCs w:val="24"/>
              </w:rPr>
            </w:pPr>
            <w:r w:rsidRPr="006845C3">
              <w:rPr>
                <w:rFonts w:ascii="Times New Roman" w:hAnsi="Times New Roman" w:cs="Times New Roman"/>
                <w:sz w:val="24"/>
                <w:szCs w:val="24"/>
              </w:rPr>
              <w:t>LINDEROS</w:t>
            </w:r>
          </w:p>
        </w:tc>
      </w:tr>
      <w:tr w:rsidR="00D24809" w:rsidRPr="006845C3" w:rsidTr="006D0ECD">
        <w:trPr>
          <w:trHeight w:val="263"/>
          <w:jc w:val="center"/>
        </w:trPr>
        <w:tc>
          <w:tcPr>
            <w:tcW w:w="2090" w:type="dxa"/>
            <w:tcBorders>
              <w:top w:val="nil"/>
              <w:left w:val="double" w:sz="6" w:space="0" w:color="auto"/>
              <w:bottom w:val="single" w:sz="4" w:space="0" w:color="auto"/>
              <w:right w:val="single" w:sz="4" w:space="0" w:color="auto"/>
            </w:tcBorders>
            <w:vAlign w:val="bottom"/>
          </w:tcPr>
          <w:p w:rsidR="00D24809" w:rsidRPr="006845C3" w:rsidRDefault="00D24809" w:rsidP="00577A03">
            <w:pPr>
              <w:pStyle w:val="Cuadrculamedia21"/>
              <w:jc w:val="center"/>
              <w:rPr>
                <w:rFonts w:ascii="Times New Roman" w:eastAsia="Arial Unicode MS" w:hAnsi="Times New Roman" w:cs="Times New Roman"/>
                <w:color w:val="000000"/>
                <w:sz w:val="24"/>
                <w:szCs w:val="24"/>
              </w:rPr>
            </w:pPr>
            <w:r w:rsidRPr="006845C3">
              <w:rPr>
                <w:rFonts w:ascii="Times New Roman" w:hAnsi="Times New Roman" w:cs="Times New Roman"/>
                <w:color w:val="000000"/>
                <w:sz w:val="24"/>
                <w:szCs w:val="24"/>
              </w:rPr>
              <w:t>NORTE</w:t>
            </w:r>
          </w:p>
        </w:tc>
        <w:tc>
          <w:tcPr>
            <w:tcW w:w="5103" w:type="dxa"/>
            <w:tcBorders>
              <w:top w:val="nil"/>
              <w:left w:val="nil"/>
              <w:bottom w:val="single" w:sz="4" w:space="0" w:color="auto"/>
              <w:right w:val="double" w:sz="6" w:space="0" w:color="auto"/>
            </w:tcBorders>
            <w:vAlign w:val="bottom"/>
          </w:tcPr>
          <w:p w:rsidR="00D24809" w:rsidRPr="006845C3" w:rsidRDefault="00D24809"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Luis Coloma en parte y terrenos de la Cooperativa El Ensueño</w:t>
            </w:r>
          </w:p>
        </w:tc>
      </w:tr>
      <w:tr w:rsidR="00D24809" w:rsidRPr="006845C3" w:rsidTr="006D0ECD">
        <w:trPr>
          <w:trHeight w:val="248"/>
          <w:jc w:val="center"/>
        </w:trPr>
        <w:tc>
          <w:tcPr>
            <w:tcW w:w="2090" w:type="dxa"/>
            <w:tcBorders>
              <w:top w:val="nil"/>
              <w:left w:val="double" w:sz="6" w:space="0" w:color="auto"/>
              <w:bottom w:val="single" w:sz="4" w:space="0" w:color="auto"/>
              <w:right w:val="single" w:sz="4" w:space="0" w:color="auto"/>
            </w:tcBorders>
            <w:vAlign w:val="bottom"/>
          </w:tcPr>
          <w:p w:rsidR="00D24809" w:rsidRPr="006845C3" w:rsidRDefault="00D24809" w:rsidP="00577A03">
            <w:pPr>
              <w:pStyle w:val="Cuadrculamedia21"/>
              <w:jc w:val="center"/>
              <w:rPr>
                <w:rFonts w:ascii="Times New Roman" w:eastAsia="Arial Unicode MS" w:hAnsi="Times New Roman" w:cs="Times New Roman"/>
                <w:color w:val="000000"/>
                <w:sz w:val="24"/>
                <w:szCs w:val="24"/>
              </w:rPr>
            </w:pPr>
            <w:r w:rsidRPr="006845C3">
              <w:rPr>
                <w:rFonts w:ascii="Times New Roman" w:eastAsia="Arial Unicode MS" w:hAnsi="Times New Roman" w:cs="Times New Roman"/>
                <w:color w:val="000000"/>
                <w:sz w:val="24"/>
                <w:szCs w:val="24"/>
              </w:rPr>
              <w:t>SUR</w:t>
            </w:r>
          </w:p>
        </w:tc>
        <w:tc>
          <w:tcPr>
            <w:tcW w:w="5103" w:type="dxa"/>
            <w:tcBorders>
              <w:top w:val="nil"/>
              <w:left w:val="nil"/>
              <w:bottom w:val="single" w:sz="4" w:space="0" w:color="auto"/>
              <w:right w:val="double" w:sz="6" w:space="0" w:color="auto"/>
            </w:tcBorders>
            <w:vAlign w:val="bottom"/>
          </w:tcPr>
          <w:p w:rsidR="00D24809" w:rsidRPr="006845C3" w:rsidRDefault="00D24809"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Estanislao Guaraca y Patricio Darquea</w:t>
            </w:r>
          </w:p>
        </w:tc>
      </w:tr>
      <w:tr w:rsidR="00D24809" w:rsidRPr="006845C3" w:rsidTr="006D0ECD">
        <w:trPr>
          <w:trHeight w:val="248"/>
          <w:jc w:val="center"/>
        </w:trPr>
        <w:tc>
          <w:tcPr>
            <w:tcW w:w="2090" w:type="dxa"/>
            <w:tcBorders>
              <w:top w:val="nil"/>
              <w:left w:val="double" w:sz="6" w:space="0" w:color="auto"/>
              <w:bottom w:val="single" w:sz="4" w:space="0" w:color="auto"/>
              <w:right w:val="single" w:sz="4" w:space="0" w:color="auto"/>
            </w:tcBorders>
            <w:vAlign w:val="bottom"/>
          </w:tcPr>
          <w:p w:rsidR="00D24809" w:rsidRPr="006845C3" w:rsidRDefault="00D24809" w:rsidP="00577A03">
            <w:pPr>
              <w:pStyle w:val="Cuadrculamedia21"/>
              <w:jc w:val="center"/>
              <w:rPr>
                <w:rFonts w:ascii="Times New Roman" w:eastAsia="Arial Unicode MS" w:hAnsi="Times New Roman" w:cs="Times New Roman"/>
                <w:color w:val="000000"/>
                <w:sz w:val="24"/>
                <w:szCs w:val="24"/>
              </w:rPr>
            </w:pPr>
            <w:r w:rsidRPr="006845C3">
              <w:rPr>
                <w:rFonts w:ascii="Times New Roman" w:eastAsia="Arial Unicode MS" w:hAnsi="Times New Roman" w:cs="Times New Roman"/>
                <w:color w:val="000000"/>
                <w:sz w:val="24"/>
                <w:szCs w:val="24"/>
              </w:rPr>
              <w:t>ESTE</w:t>
            </w:r>
          </w:p>
        </w:tc>
        <w:tc>
          <w:tcPr>
            <w:tcW w:w="5103" w:type="dxa"/>
            <w:tcBorders>
              <w:top w:val="nil"/>
              <w:left w:val="nil"/>
              <w:bottom w:val="single" w:sz="4" w:space="0" w:color="auto"/>
              <w:right w:val="double" w:sz="6" w:space="0" w:color="auto"/>
            </w:tcBorders>
            <w:vAlign w:val="bottom"/>
          </w:tcPr>
          <w:p w:rsidR="00D24809" w:rsidRPr="006845C3" w:rsidRDefault="00D24809"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Camino Público que separa terrenos de varios propietarios</w:t>
            </w:r>
          </w:p>
        </w:tc>
      </w:tr>
      <w:tr w:rsidR="00D24809" w:rsidRPr="006845C3" w:rsidTr="006D0ECD">
        <w:trPr>
          <w:trHeight w:val="248"/>
          <w:jc w:val="center"/>
        </w:trPr>
        <w:tc>
          <w:tcPr>
            <w:tcW w:w="2090" w:type="dxa"/>
            <w:tcBorders>
              <w:top w:val="nil"/>
              <w:left w:val="double" w:sz="6" w:space="0" w:color="auto"/>
              <w:bottom w:val="single" w:sz="4" w:space="0" w:color="auto"/>
              <w:right w:val="single" w:sz="4" w:space="0" w:color="auto"/>
            </w:tcBorders>
            <w:vAlign w:val="bottom"/>
          </w:tcPr>
          <w:p w:rsidR="00D24809" w:rsidRPr="006845C3" w:rsidRDefault="00D24809" w:rsidP="00577A03">
            <w:pPr>
              <w:pStyle w:val="Cuadrculamedia21"/>
              <w:jc w:val="center"/>
              <w:rPr>
                <w:rFonts w:ascii="Times New Roman" w:eastAsia="Arial Unicode MS" w:hAnsi="Times New Roman" w:cs="Times New Roman"/>
                <w:color w:val="000000"/>
                <w:sz w:val="24"/>
                <w:szCs w:val="24"/>
              </w:rPr>
            </w:pPr>
            <w:r w:rsidRPr="006845C3">
              <w:rPr>
                <w:rFonts w:ascii="Times New Roman" w:eastAsia="Arial Unicode MS" w:hAnsi="Times New Roman" w:cs="Times New Roman"/>
                <w:color w:val="000000"/>
                <w:sz w:val="24"/>
                <w:szCs w:val="24"/>
              </w:rPr>
              <w:t>OESTE</w:t>
            </w:r>
          </w:p>
        </w:tc>
        <w:tc>
          <w:tcPr>
            <w:tcW w:w="5103" w:type="dxa"/>
            <w:tcBorders>
              <w:top w:val="nil"/>
              <w:left w:val="nil"/>
              <w:bottom w:val="single" w:sz="4" w:space="0" w:color="auto"/>
              <w:right w:val="double" w:sz="6" w:space="0" w:color="auto"/>
            </w:tcBorders>
            <w:vAlign w:val="bottom"/>
          </w:tcPr>
          <w:p w:rsidR="00D24809" w:rsidRPr="006845C3" w:rsidRDefault="00D24809" w:rsidP="00577A03">
            <w:pPr>
              <w:pStyle w:val="Cuadrculamedia21"/>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Camino Público que separa terrenos de Rogelio Torres</w:t>
            </w:r>
          </w:p>
        </w:tc>
      </w:tr>
    </w:tbl>
    <w:p w:rsidR="00D24809" w:rsidRPr="006845C3" w:rsidRDefault="00D24809" w:rsidP="00577A03">
      <w:pPr>
        <w:pStyle w:val="Sinespaciado"/>
        <w:jc w:val="both"/>
        <w:rPr>
          <w:rFonts w:ascii="Times New Roman" w:hAnsi="Times New Roman" w:cs="Times New Roman"/>
          <w:sz w:val="24"/>
          <w:szCs w:val="24"/>
          <w:lang w:val="es-MX"/>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El inmueble fue </w:t>
      </w:r>
      <w:r w:rsidR="00D24809" w:rsidRPr="006845C3">
        <w:rPr>
          <w:rFonts w:ascii="Times New Roman" w:hAnsi="Times New Roman" w:cs="Times New Roman"/>
          <w:sz w:val="24"/>
          <w:szCs w:val="24"/>
        </w:rPr>
        <w:t xml:space="preserve">adquirido mediante escritura pública celebrada el 14 de marzo de 1984, ante el Doctor José </w:t>
      </w:r>
      <w:r w:rsidR="00B44ADA" w:rsidRPr="006845C3">
        <w:rPr>
          <w:rFonts w:ascii="Times New Roman" w:hAnsi="Times New Roman" w:cs="Times New Roman"/>
          <w:sz w:val="24"/>
          <w:szCs w:val="24"/>
        </w:rPr>
        <w:t>Villagómez</w:t>
      </w:r>
      <w:r w:rsidR="00D24809" w:rsidRPr="006845C3">
        <w:rPr>
          <w:rFonts w:ascii="Times New Roman" w:hAnsi="Times New Roman" w:cs="Times New Roman"/>
          <w:sz w:val="24"/>
          <w:szCs w:val="24"/>
        </w:rPr>
        <w:t>, Notario del cantón Riobamba e inscrita en el Registro de la Propiedad el 19 de abril de 1984 de acuerdo al certificado de gravamen N° 40993 de 20 de octubre del 2017, suscrito por el Doctor Javier Cevallos, Registrador de la Propiedad</w:t>
      </w:r>
      <w:r w:rsidRPr="006845C3">
        <w:rPr>
          <w:rFonts w:ascii="Times New Roman" w:hAnsi="Times New Roman" w:cs="Times New Roman"/>
          <w:sz w:val="24"/>
          <w:szCs w:val="24"/>
        </w:rPr>
        <w:t>; predio que no reconoce ningún gravamen ni se halla prohibido de enajenar</w:t>
      </w:r>
      <w:r w:rsidR="00D24809" w:rsidRPr="006845C3">
        <w:rPr>
          <w:rFonts w:ascii="Times New Roman" w:hAnsi="Times New Roman" w:cs="Times New Roman"/>
          <w:sz w:val="24"/>
          <w:szCs w:val="24"/>
        </w:rPr>
        <w:t>.</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B44ADA"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3.-</w:t>
      </w:r>
      <w:r w:rsidR="00F30B47" w:rsidRPr="006845C3">
        <w:rPr>
          <w:rFonts w:ascii="Times New Roman" w:hAnsi="Times New Roman" w:cs="Times New Roman"/>
          <w:sz w:val="24"/>
          <w:szCs w:val="24"/>
        </w:rPr>
        <w:t xml:space="preserve"> La Urbanización que se aprueba se llevará a cabo con sujeción estricta a los planos y especificaciones técnicas debidamente aprobadas por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de Gestión de Ordenamiento Territorial, Empresa Pública Municipal de Agua Potable y Alcantarillado Riobamba (EP-EMAPAR), Empresa Eléctrica Riobamba S.A. (E.E.R.S.A), Corporación Nacional de Telecomunicaciones (CNT), quienes exigirán que los diseños definitivos guarden estricta relación con las ordenanzas municipales vigentes y demás  normas  técnicas que rigen dentro del ámbito de la construcción.</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Todos los planos que tienen la clave </w:t>
      </w:r>
      <w:r w:rsidRPr="006845C3">
        <w:rPr>
          <w:rFonts w:ascii="Times New Roman" w:hAnsi="Times New Roman" w:cs="Times New Roman"/>
          <w:color w:val="000000"/>
          <w:sz w:val="24"/>
          <w:szCs w:val="24"/>
        </w:rPr>
        <w:t>060103001062000142000000000</w:t>
      </w:r>
      <w:r w:rsidR="00D24809" w:rsidRPr="006845C3">
        <w:rPr>
          <w:rFonts w:ascii="Times New Roman" w:hAnsi="Times New Roman" w:cs="Times New Roman"/>
          <w:color w:val="000000"/>
          <w:sz w:val="24"/>
          <w:szCs w:val="24"/>
        </w:rPr>
        <w:t xml:space="preserve"> (</w:t>
      </w:r>
      <w:r w:rsidR="00D24809" w:rsidRPr="006845C3">
        <w:rPr>
          <w:rFonts w:ascii="Times New Roman" w:hAnsi="Times New Roman" w:cs="Times New Roman"/>
          <w:color w:val="000000"/>
          <w:sz w:val="24"/>
          <w:szCs w:val="24"/>
          <w:u w:val="single"/>
        </w:rPr>
        <w:t>sin embargo,</w:t>
      </w:r>
      <w:r w:rsidR="00B44ADA">
        <w:rPr>
          <w:rFonts w:ascii="Times New Roman" w:hAnsi="Times New Roman" w:cs="Times New Roman"/>
          <w:color w:val="000000"/>
          <w:sz w:val="24"/>
          <w:szCs w:val="24"/>
          <w:u w:val="single"/>
        </w:rPr>
        <w:t xml:space="preserve"> </w:t>
      </w:r>
      <w:r w:rsidR="00D24809" w:rsidRPr="006845C3">
        <w:rPr>
          <w:rFonts w:ascii="Times New Roman" w:hAnsi="Times New Roman" w:cs="Times New Roman"/>
          <w:color w:val="000000"/>
          <w:sz w:val="24"/>
          <w:szCs w:val="24"/>
          <w:u w:val="single"/>
        </w:rPr>
        <w:t>al haberse incorporado el bien inmueble en el área urbana del cantón Riobamba con la Ordenanza 013-2017 que contiene el Código Urbano par</w:t>
      </w:r>
      <w:r w:rsidR="00D63D25" w:rsidRPr="006845C3">
        <w:rPr>
          <w:rFonts w:ascii="Times New Roman" w:hAnsi="Times New Roman" w:cs="Times New Roman"/>
          <w:color w:val="000000"/>
          <w:sz w:val="24"/>
          <w:szCs w:val="24"/>
          <w:u w:val="single"/>
        </w:rPr>
        <w:t>a</w:t>
      </w:r>
      <w:r w:rsidR="00D24809" w:rsidRPr="006845C3">
        <w:rPr>
          <w:rFonts w:ascii="Times New Roman" w:hAnsi="Times New Roman" w:cs="Times New Roman"/>
          <w:color w:val="000000"/>
          <w:sz w:val="24"/>
          <w:szCs w:val="24"/>
          <w:u w:val="single"/>
        </w:rPr>
        <w:t xml:space="preserve"> el cantón Riobamba, la clave actual es: 060101004016013001, de acuerdo a la Ficha Predial urbana NO. 67590</w:t>
      </w:r>
      <w:r w:rsidR="00D24809" w:rsidRPr="006845C3">
        <w:rPr>
          <w:rFonts w:ascii="Times New Roman" w:hAnsi="Times New Roman" w:cs="Times New Roman"/>
          <w:color w:val="000000"/>
          <w:sz w:val="24"/>
          <w:szCs w:val="24"/>
        </w:rPr>
        <w:t xml:space="preserve">) </w:t>
      </w:r>
      <w:r w:rsidRPr="006845C3">
        <w:rPr>
          <w:rFonts w:ascii="Times New Roman" w:hAnsi="Times New Roman" w:cs="Times New Roman"/>
          <w:sz w:val="24"/>
          <w:szCs w:val="24"/>
        </w:rPr>
        <w:t>se protocolizarán junto con esta Ordenanza en una de las Notarías Públicas del Cantón Riobamba.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Los planos y los datos constantes en el proyecto son de exclusiva responsabilidad del Proyectista y del Urbanizador del predio y presupone la utilización exclusiva de terrenos del Urbanizador.</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B44ADA"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4.-</w:t>
      </w:r>
      <w:r w:rsidR="00F30B47" w:rsidRPr="006845C3">
        <w:rPr>
          <w:rFonts w:ascii="Times New Roman" w:hAnsi="Times New Roman" w:cs="Times New Roman"/>
          <w:sz w:val="24"/>
          <w:szCs w:val="24"/>
        </w:rPr>
        <w:t xml:space="preserve"> Las obras de urbanización deberán ser ejecutadas por cuenta del Urbanizador del predio bajo su exclusiva responsabilidad de conformidad a lo establecido en la presente Ordenanza y dentro de los plazos previstos y aprobados por el Gobierno Autónomo Descentralizado Municipal  de Riobamba.</w:t>
      </w:r>
    </w:p>
    <w:p w:rsidR="00F30B47" w:rsidRPr="006845C3" w:rsidRDefault="00F30B47" w:rsidP="00577A03">
      <w:pPr>
        <w:pStyle w:val="Sinespaciado"/>
        <w:jc w:val="both"/>
        <w:rPr>
          <w:rFonts w:ascii="Times New Roman" w:hAnsi="Times New Roman" w:cs="Times New Roman"/>
          <w:sz w:val="24"/>
          <w:szCs w:val="24"/>
        </w:rPr>
      </w:pPr>
    </w:p>
    <w:p w:rsidR="00347937" w:rsidRPr="006845C3" w:rsidRDefault="00B44ADA"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lastRenderedPageBreak/>
        <w:t>Art</w:t>
      </w:r>
      <w:r>
        <w:rPr>
          <w:rFonts w:ascii="Times New Roman" w:hAnsi="Times New Roman" w:cs="Times New Roman"/>
          <w:b/>
          <w:sz w:val="24"/>
          <w:szCs w:val="24"/>
        </w:rPr>
        <w:t>ículo</w:t>
      </w:r>
      <w:r w:rsidR="00347937" w:rsidRPr="006845C3">
        <w:rPr>
          <w:rFonts w:ascii="Times New Roman" w:hAnsi="Times New Roman" w:cs="Times New Roman"/>
          <w:b/>
          <w:sz w:val="24"/>
          <w:szCs w:val="24"/>
        </w:rPr>
        <w:t xml:space="preserve"> 5.-</w:t>
      </w:r>
      <w:r w:rsidR="00347937" w:rsidRPr="006845C3">
        <w:rPr>
          <w:rFonts w:ascii="Times New Roman" w:hAnsi="Times New Roman" w:cs="Times New Roman"/>
          <w:sz w:val="24"/>
          <w:szCs w:val="24"/>
        </w:rPr>
        <w:t xml:space="preserve"> El Urbanizador transfiere en forma definitiva a favor del Gobierno Autónomo Descentralizado Municipal de Riobamba el dominio del o los siguiente (s) inmueble (s): </w:t>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Área verde, recreacional comunal:</w:t>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Bien Municipal de DOMINIO PÚBLICO Clasificado como de uso público:</w:t>
      </w: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Linderos y superficies:</w:t>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Área Verde </w:t>
      </w: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Superficie: 8601.58 m2, que corresponden al 10 % del área útil.</w:t>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(UBICACIÓN Y LINDEROS):</w:t>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jc w:val="both"/>
        <w:rPr>
          <w:rFonts w:eastAsia="Times New Roman"/>
          <w:b/>
          <w:sz w:val="24"/>
          <w:szCs w:val="24"/>
          <w:lang w:val="es-ES" w:eastAsia="en-US"/>
        </w:rPr>
      </w:pPr>
      <w:r w:rsidRPr="006845C3">
        <w:rPr>
          <w:rFonts w:eastAsia="Times New Roman"/>
          <w:b/>
          <w:sz w:val="24"/>
          <w:szCs w:val="24"/>
          <w:lang w:val="es-ES" w:eastAsia="en-US"/>
        </w:rPr>
        <w:t>ÁREA VERDE 1</w:t>
      </w:r>
      <w:r w:rsidRPr="006845C3">
        <w:rPr>
          <w:rFonts w:eastAsia="Times New Roman"/>
          <w:b/>
          <w:sz w:val="24"/>
          <w:szCs w:val="24"/>
          <w:lang w:val="es-ES" w:eastAsia="en-US"/>
        </w:rPr>
        <w:tab/>
      </w:r>
      <w:r w:rsidRPr="006845C3">
        <w:rPr>
          <w:rFonts w:eastAsia="Times New Roman"/>
          <w:b/>
          <w:sz w:val="24"/>
          <w:szCs w:val="24"/>
          <w:lang w:val="es-ES" w:eastAsia="en-US"/>
        </w:rPr>
        <w:tab/>
      </w:r>
      <w:r w:rsidRPr="006845C3">
        <w:rPr>
          <w:rFonts w:eastAsia="Times New Roman"/>
          <w:b/>
          <w:sz w:val="24"/>
          <w:szCs w:val="24"/>
          <w:lang w:val="es-ES" w:eastAsia="en-US"/>
        </w:rPr>
        <w:tab/>
      </w:r>
      <w:r w:rsidRPr="006845C3">
        <w:rPr>
          <w:rFonts w:eastAsia="Times New Roman"/>
          <w:b/>
          <w:sz w:val="24"/>
          <w:szCs w:val="24"/>
          <w:lang w:val="es-ES" w:eastAsia="en-US"/>
        </w:rPr>
        <w:tab/>
      </w:r>
      <w:r w:rsidRPr="006845C3">
        <w:rPr>
          <w:rFonts w:eastAsia="Times New Roman"/>
          <w:b/>
          <w:sz w:val="24"/>
          <w:szCs w:val="24"/>
          <w:lang w:val="es-ES" w:eastAsia="en-US"/>
        </w:rPr>
        <w:tab/>
      </w:r>
      <w:r w:rsidRPr="006845C3">
        <w:rPr>
          <w:rFonts w:eastAsia="Times New Roman"/>
          <w:b/>
          <w:sz w:val="24"/>
          <w:szCs w:val="24"/>
          <w:lang w:val="es-ES" w:eastAsia="en-US"/>
        </w:rPr>
        <w:tab/>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Norte:</w:t>
      </w:r>
      <w:r w:rsidRPr="006845C3">
        <w:rPr>
          <w:rFonts w:eastAsia="Times New Roman"/>
          <w:sz w:val="24"/>
          <w:szCs w:val="24"/>
          <w:lang w:val="es-ES" w:eastAsia="en-US"/>
        </w:rPr>
        <w:tab/>
      </w:r>
      <w:r w:rsidRPr="006845C3">
        <w:rPr>
          <w:rFonts w:eastAsia="Times New Roman"/>
          <w:sz w:val="24"/>
          <w:szCs w:val="24"/>
          <w:lang w:val="es-ES" w:eastAsia="en-US"/>
        </w:rPr>
        <w:tab/>
        <w:t>48.44 m</w:t>
      </w:r>
      <w:r w:rsidRPr="006845C3">
        <w:rPr>
          <w:rFonts w:eastAsia="Times New Roman"/>
          <w:sz w:val="24"/>
          <w:szCs w:val="24"/>
          <w:lang w:val="es-ES" w:eastAsia="en-US"/>
        </w:rPr>
        <w:tab/>
        <w:t>Lotes 234, 236 de la manzana G</w:t>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Sur:</w:t>
      </w:r>
      <w:r w:rsidRPr="006845C3">
        <w:rPr>
          <w:rFonts w:eastAsia="Times New Roman"/>
          <w:sz w:val="24"/>
          <w:szCs w:val="24"/>
          <w:lang w:val="es-ES" w:eastAsia="en-US"/>
        </w:rPr>
        <w:tab/>
      </w:r>
      <w:r w:rsidRPr="006845C3">
        <w:rPr>
          <w:rFonts w:eastAsia="Times New Roman"/>
          <w:sz w:val="24"/>
          <w:szCs w:val="24"/>
          <w:lang w:val="es-ES" w:eastAsia="en-US"/>
        </w:rPr>
        <w:tab/>
        <w:t>99.68 m</w:t>
      </w:r>
      <w:r w:rsidRPr="006845C3">
        <w:rPr>
          <w:rFonts w:eastAsia="Times New Roman"/>
          <w:sz w:val="24"/>
          <w:szCs w:val="24"/>
          <w:lang w:val="es-ES" w:eastAsia="en-US"/>
        </w:rPr>
        <w:tab/>
        <w:t>Calle Transversal 4</w:t>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Este:</w:t>
      </w:r>
      <w:r w:rsidRPr="006845C3">
        <w:rPr>
          <w:rFonts w:eastAsia="Times New Roman"/>
          <w:sz w:val="24"/>
          <w:szCs w:val="24"/>
          <w:lang w:val="es-ES" w:eastAsia="en-US"/>
        </w:rPr>
        <w:tab/>
      </w:r>
      <w:r w:rsidRPr="006845C3">
        <w:rPr>
          <w:rFonts w:eastAsia="Times New Roman"/>
          <w:sz w:val="24"/>
          <w:szCs w:val="24"/>
          <w:lang w:val="es-ES" w:eastAsia="en-US"/>
        </w:rPr>
        <w:tab/>
        <w:t>123.00 m</w:t>
      </w:r>
      <w:r w:rsidRPr="006845C3">
        <w:rPr>
          <w:rFonts w:eastAsia="Times New Roman"/>
          <w:sz w:val="24"/>
          <w:szCs w:val="24"/>
          <w:lang w:val="es-ES" w:eastAsia="en-US"/>
        </w:rPr>
        <w:tab/>
        <w:t>Calle F</w:t>
      </w:r>
      <w:r w:rsidRPr="006845C3">
        <w:rPr>
          <w:rFonts w:eastAsia="Times New Roman"/>
          <w:sz w:val="24"/>
          <w:szCs w:val="24"/>
          <w:lang w:val="es-ES" w:eastAsia="en-US"/>
        </w:rPr>
        <w:tab/>
      </w:r>
      <w:r w:rsidRPr="006845C3">
        <w:rPr>
          <w:rFonts w:eastAsia="Times New Roman"/>
          <w:sz w:val="24"/>
          <w:szCs w:val="24"/>
          <w:lang w:val="es-ES" w:eastAsia="en-US"/>
        </w:rPr>
        <w:tab/>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Oeste:</w:t>
      </w:r>
      <w:r w:rsidRPr="006845C3">
        <w:rPr>
          <w:rFonts w:eastAsia="Times New Roman"/>
          <w:sz w:val="24"/>
          <w:szCs w:val="24"/>
          <w:lang w:val="es-ES" w:eastAsia="en-US"/>
        </w:rPr>
        <w:tab/>
      </w:r>
      <w:r w:rsidRPr="006845C3">
        <w:rPr>
          <w:rFonts w:eastAsia="Times New Roman"/>
          <w:sz w:val="24"/>
          <w:szCs w:val="24"/>
          <w:lang w:val="es-ES" w:eastAsia="en-US"/>
        </w:rPr>
        <w:tab/>
        <w:t>70.26 m</w:t>
      </w:r>
      <w:r w:rsidRPr="006845C3">
        <w:rPr>
          <w:rFonts w:eastAsia="Times New Roman"/>
          <w:sz w:val="24"/>
          <w:szCs w:val="24"/>
          <w:lang w:val="es-ES" w:eastAsia="en-US"/>
        </w:rPr>
        <w:tab/>
        <w:t>Calle San Pedro</w:t>
      </w:r>
    </w:p>
    <w:p w:rsidR="00347937" w:rsidRPr="006845C3" w:rsidRDefault="00347937" w:rsidP="00577A03">
      <w:pPr>
        <w:jc w:val="both"/>
        <w:rPr>
          <w:rFonts w:eastAsia="Times New Roman"/>
          <w:b/>
          <w:sz w:val="24"/>
          <w:szCs w:val="24"/>
          <w:lang w:val="es-ES" w:eastAsia="en-US"/>
        </w:rPr>
      </w:pPr>
      <w:r w:rsidRPr="006845C3">
        <w:rPr>
          <w:rFonts w:eastAsia="Times New Roman"/>
          <w:b/>
          <w:sz w:val="24"/>
          <w:szCs w:val="24"/>
          <w:lang w:val="es-ES" w:eastAsia="en-US"/>
        </w:rPr>
        <w:t>Área:</w:t>
      </w:r>
      <w:r w:rsidRPr="006845C3">
        <w:rPr>
          <w:rFonts w:eastAsia="Times New Roman"/>
          <w:b/>
          <w:sz w:val="24"/>
          <w:szCs w:val="24"/>
          <w:lang w:val="es-ES" w:eastAsia="en-US"/>
        </w:rPr>
        <w:tab/>
      </w:r>
      <w:r w:rsidRPr="006845C3">
        <w:rPr>
          <w:rFonts w:eastAsia="Times New Roman"/>
          <w:b/>
          <w:sz w:val="24"/>
          <w:szCs w:val="24"/>
          <w:lang w:val="es-ES" w:eastAsia="en-US"/>
        </w:rPr>
        <w:tab/>
        <w:t>6355.12   metros cuadrados</w:t>
      </w:r>
    </w:p>
    <w:p w:rsidR="00347937" w:rsidRDefault="00347937" w:rsidP="00577A03">
      <w:pPr>
        <w:jc w:val="both"/>
        <w:rPr>
          <w:rFonts w:ascii="Arial" w:hAnsi="Arial" w:cs="Arial"/>
          <w:sz w:val="24"/>
          <w:szCs w:val="24"/>
        </w:rPr>
      </w:pPr>
    </w:p>
    <w:p w:rsidR="00347937" w:rsidRDefault="00347937" w:rsidP="00577A03">
      <w:pPr>
        <w:jc w:val="both"/>
        <w:rPr>
          <w:rFonts w:ascii="Arial" w:hAnsi="Arial" w:cs="Arial"/>
          <w:sz w:val="24"/>
          <w:szCs w:val="24"/>
        </w:rPr>
      </w:pPr>
      <w:r w:rsidRPr="00F12960">
        <w:rPr>
          <w:noProof/>
        </w:rPr>
        <w:drawing>
          <wp:inline distT="0" distB="0" distL="0" distR="0">
            <wp:extent cx="2849245" cy="217995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245" cy="2179955"/>
                    </a:xfrm>
                    <a:prstGeom prst="rect">
                      <a:avLst/>
                    </a:prstGeom>
                    <a:noFill/>
                    <a:ln>
                      <a:noFill/>
                    </a:ln>
                  </pic:spPr>
                </pic:pic>
              </a:graphicData>
            </a:graphic>
          </wp:inline>
        </w:drawing>
      </w:r>
    </w:p>
    <w:p w:rsidR="00347937" w:rsidRDefault="00347937" w:rsidP="00577A03">
      <w:pPr>
        <w:pStyle w:val="Sinespaciado"/>
        <w:jc w:val="both"/>
        <w:rPr>
          <w:rFonts w:ascii="Times New Roman" w:hAnsi="Times New Roman" w:cs="Times New Roman"/>
          <w:sz w:val="24"/>
          <w:szCs w:val="24"/>
        </w:rPr>
      </w:pPr>
    </w:p>
    <w:p w:rsidR="00347937" w:rsidRPr="006845C3" w:rsidRDefault="00347937" w:rsidP="00577A03">
      <w:pPr>
        <w:jc w:val="both"/>
        <w:rPr>
          <w:rFonts w:eastAsia="Times New Roman"/>
          <w:b/>
          <w:sz w:val="24"/>
          <w:szCs w:val="24"/>
          <w:lang w:val="es-ES" w:eastAsia="en-US"/>
        </w:rPr>
      </w:pPr>
      <w:r w:rsidRPr="006845C3">
        <w:rPr>
          <w:rFonts w:eastAsia="Times New Roman"/>
          <w:b/>
          <w:sz w:val="24"/>
          <w:szCs w:val="24"/>
          <w:lang w:val="es-ES" w:eastAsia="en-US"/>
        </w:rPr>
        <w:t>ÁREA VERDE 2</w:t>
      </w:r>
    </w:p>
    <w:p w:rsidR="00347937" w:rsidRPr="006845C3" w:rsidRDefault="00347937" w:rsidP="00577A03">
      <w:pPr>
        <w:jc w:val="both"/>
        <w:rPr>
          <w:rFonts w:eastAsia="Times New Roman"/>
          <w:sz w:val="24"/>
          <w:szCs w:val="24"/>
          <w:lang w:val="es-ES" w:eastAsia="en-US"/>
        </w:rPr>
      </w:pP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Norte:</w:t>
      </w:r>
      <w:r w:rsidRPr="006845C3">
        <w:rPr>
          <w:rFonts w:eastAsia="Times New Roman"/>
          <w:sz w:val="24"/>
          <w:szCs w:val="24"/>
          <w:lang w:val="es-ES" w:eastAsia="en-US"/>
        </w:rPr>
        <w:tab/>
      </w:r>
      <w:r w:rsidRPr="006845C3">
        <w:rPr>
          <w:rFonts w:eastAsia="Times New Roman"/>
          <w:sz w:val="24"/>
          <w:szCs w:val="24"/>
          <w:lang w:val="es-ES" w:eastAsia="en-US"/>
        </w:rPr>
        <w:tab/>
        <w:t>26.55 m</w:t>
      </w:r>
      <w:r w:rsidRPr="006845C3">
        <w:rPr>
          <w:rFonts w:eastAsia="Times New Roman"/>
          <w:sz w:val="24"/>
          <w:szCs w:val="24"/>
          <w:lang w:val="es-ES" w:eastAsia="en-US"/>
        </w:rPr>
        <w:tab/>
        <w:t>Calle Transversal 1</w:t>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Sur:</w:t>
      </w:r>
      <w:r w:rsidRPr="006845C3">
        <w:rPr>
          <w:rFonts w:eastAsia="Times New Roman"/>
          <w:sz w:val="24"/>
          <w:szCs w:val="24"/>
          <w:lang w:val="es-ES" w:eastAsia="en-US"/>
        </w:rPr>
        <w:tab/>
      </w:r>
      <w:r w:rsidRPr="006845C3">
        <w:rPr>
          <w:rFonts w:eastAsia="Times New Roman"/>
          <w:sz w:val="24"/>
          <w:szCs w:val="24"/>
          <w:lang w:val="es-ES" w:eastAsia="en-US"/>
        </w:rPr>
        <w:tab/>
        <w:t>26.55 m</w:t>
      </w:r>
      <w:r w:rsidRPr="006845C3">
        <w:rPr>
          <w:rFonts w:eastAsia="Times New Roman"/>
          <w:sz w:val="24"/>
          <w:szCs w:val="24"/>
          <w:lang w:val="es-ES" w:eastAsia="en-US"/>
        </w:rPr>
        <w:tab/>
        <w:t>Calle Transversal 2</w:t>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Este:</w:t>
      </w:r>
      <w:r w:rsidRPr="006845C3">
        <w:rPr>
          <w:rFonts w:eastAsia="Times New Roman"/>
          <w:sz w:val="24"/>
          <w:szCs w:val="24"/>
          <w:lang w:val="es-ES" w:eastAsia="en-US"/>
        </w:rPr>
        <w:tab/>
      </w:r>
      <w:r w:rsidRPr="006845C3">
        <w:rPr>
          <w:rFonts w:eastAsia="Times New Roman"/>
          <w:sz w:val="24"/>
          <w:szCs w:val="24"/>
          <w:lang w:val="es-ES" w:eastAsia="en-US"/>
        </w:rPr>
        <w:tab/>
        <w:t>84.41 m</w:t>
      </w:r>
      <w:r w:rsidRPr="006845C3">
        <w:rPr>
          <w:rFonts w:eastAsia="Times New Roman"/>
          <w:sz w:val="24"/>
          <w:szCs w:val="24"/>
          <w:lang w:val="es-ES" w:eastAsia="en-US"/>
        </w:rPr>
        <w:tab/>
        <w:t>Calle C</w:t>
      </w:r>
      <w:r w:rsidRPr="006845C3">
        <w:rPr>
          <w:rFonts w:eastAsia="Times New Roman"/>
          <w:sz w:val="24"/>
          <w:szCs w:val="24"/>
          <w:lang w:val="es-ES" w:eastAsia="en-US"/>
        </w:rPr>
        <w:tab/>
      </w:r>
      <w:r w:rsidRPr="006845C3">
        <w:rPr>
          <w:rFonts w:eastAsia="Times New Roman"/>
          <w:sz w:val="24"/>
          <w:szCs w:val="24"/>
          <w:lang w:val="es-ES" w:eastAsia="en-US"/>
        </w:rPr>
        <w:tab/>
      </w:r>
    </w:p>
    <w:p w:rsidR="00347937" w:rsidRPr="006845C3" w:rsidRDefault="00347937" w:rsidP="00577A03">
      <w:pPr>
        <w:jc w:val="both"/>
        <w:rPr>
          <w:rFonts w:eastAsia="Times New Roman"/>
          <w:sz w:val="24"/>
          <w:szCs w:val="24"/>
          <w:lang w:val="es-ES" w:eastAsia="en-US"/>
        </w:rPr>
      </w:pPr>
      <w:r w:rsidRPr="006845C3">
        <w:rPr>
          <w:rFonts w:eastAsia="Times New Roman"/>
          <w:sz w:val="24"/>
          <w:szCs w:val="24"/>
          <w:lang w:val="es-ES" w:eastAsia="en-US"/>
        </w:rPr>
        <w:t>Oeste:</w:t>
      </w:r>
      <w:r w:rsidRPr="006845C3">
        <w:rPr>
          <w:rFonts w:eastAsia="Times New Roman"/>
          <w:sz w:val="24"/>
          <w:szCs w:val="24"/>
          <w:lang w:val="es-ES" w:eastAsia="en-US"/>
        </w:rPr>
        <w:tab/>
      </w:r>
      <w:r w:rsidRPr="006845C3">
        <w:rPr>
          <w:rFonts w:eastAsia="Times New Roman"/>
          <w:sz w:val="24"/>
          <w:szCs w:val="24"/>
          <w:lang w:val="es-ES" w:eastAsia="en-US"/>
        </w:rPr>
        <w:tab/>
        <w:t>84.85 m</w:t>
      </w:r>
      <w:r w:rsidRPr="006845C3">
        <w:rPr>
          <w:rFonts w:eastAsia="Times New Roman"/>
          <w:sz w:val="24"/>
          <w:szCs w:val="24"/>
          <w:lang w:val="es-ES" w:eastAsia="en-US"/>
        </w:rPr>
        <w:tab/>
        <w:t>Calle B</w:t>
      </w:r>
    </w:p>
    <w:p w:rsidR="00347937" w:rsidRPr="006845C3" w:rsidRDefault="00347937" w:rsidP="00577A03">
      <w:pPr>
        <w:jc w:val="both"/>
        <w:rPr>
          <w:rFonts w:eastAsia="Times New Roman"/>
          <w:b/>
          <w:sz w:val="24"/>
          <w:szCs w:val="24"/>
          <w:lang w:val="es-ES" w:eastAsia="en-US"/>
        </w:rPr>
      </w:pPr>
      <w:r w:rsidRPr="006845C3">
        <w:rPr>
          <w:rFonts w:eastAsia="Times New Roman"/>
          <w:b/>
          <w:sz w:val="24"/>
          <w:szCs w:val="24"/>
          <w:lang w:val="es-ES" w:eastAsia="en-US"/>
        </w:rPr>
        <w:t>Área:</w:t>
      </w:r>
      <w:r w:rsidRPr="006845C3">
        <w:rPr>
          <w:rFonts w:eastAsia="Times New Roman"/>
          <w:b/>
          <w:sz w:val="24"/>
          <w:szCs w:val="24"/>
          <w:lang w:val="es-ES" w:eastAsia="en-US"/>
        </w:rPr>
        <w:tab/>
      </w:r>
      <w:r w:rsidRPr="006845C3">
        <w:rPr>
          <w:rFonts w:eastAsia="Times New Roman"/>
          <w:b/>
          <w:sz w:val="24"/>
          <w:szCs w:val="24"/>
          <w:lang w:val="es-ES" w:eastAsia="en-US"/>
        </w:rPr>
        <w:tab/>
        <w:t>2246.46 metros cuadrados</w:t>
      </w:r>
    </w:p>
    <w:p w:rsidR="00347937" w:rsidRPr="006845C3" w:rsidRDefault="00347937" w:rsidP="00577A03">
      <w:pPr>
        <w:jc w:val="both"/>
        <w:rPr>
          <w:b/>
          <w:sz w:val="24"/>
          <w:szCs w:val="24"/>
        </w:rPr>
      </w:pPr>
    </w:p>
    <w:p w:rsidR="00347937" w:rsidRPr="006845C3" w:rsidRDefault="00347937" w:rsidP="00577A03">
      <w:pPr>
        <w:jc w:val="both"/>
        <w:rPr>
          <w:b/>
          <w:sz w:val="24"/>
          <w:szCs w:val="24"/>
        </w:rPr>
      </w:pPr>
      <w:r w:rsidRPr="006845C3">
        <w:rPr>
          <w:noProof/>
          <w:sz w:val="24"/>
          <w:szCs w:val="24"/>
        </w:rPr>
        <w:lastRenderedPageBreak/>
        <w:drawing>
          <wp:inline distT="0" distB="0" distL="0" distR="0" wp14:anchorId="29E8D712" wp14:editId="648F879B">
            <wp:extent cx="2705419" cy="1475117"/>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635" cy="1475235"/>
                    </a:xfrm>
                    <a:prstGeom prst="rect">
                      <a:avLst/>
                    </a:prstGeom>
                    <a:noFill/>
                    <a:ln>
                      <a:noFill/>
                    </a:ln>
                  </pic:spPr>
                </pic:pic>
              </a:graphicData>
            </a:graphic>
          </wp:inline>
        </w:drawing>
      </w:r>
    </w:p>
    <w:p w:rsidR="00347937" w:rsidRPr="006845C3" w:rsidRDefault="00347937" w:rsidP="00577A03">
      <w:pPr>
        <w:pStyle w:val="Sinespaciado"/>
        <w:jc w:val="both"/>
        <w:rPr>
          <w:rFonts w:ascii="Times New Roman" w:hAnsi="Times New Roman" w:cs="Times New Roman"/>
          <w:sz w:val="24"/>
          <w:szCs w:val="24"/>
        </w:rPr>
      </w:pP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ESTUDIO DE ÁREAS</w:t>
      </w:r>
    </w:p>
    <w:p w:rsidR="00347937" w:rsidRPr="006845C3" w:rsidRDefault="0034793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Las áreas del terreno quedarán conformadas de la siguiente manera:</w:t>
      </w:r>
    </w:p>
    <w:p w:rsidR="00EA7510" w:rsidRPr="006845C3" w:rsidRDefault="00EA7510" w:rsidP="00577A03">
      <w:pPr>
        <w:pStyle w:val="Sinespaciad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701"/>
        <w:gridCol w:w="1417"/>
        <w:gridCol w:w="1701"/>
      </w:tblGrid>
      <w:tr w:rsidR="00EA7510" w:rsidRPr="006845C3" w:rsidTr="00EA7510">
        <w:trPr>
          <w:jc w:val="center"/>
        </w:trPr>
        <w:tc>
          <w:tcPr>
            <w:tcW w:w="3227" w:type="dxa"/>
          </w:tcPr>
          <w:p w:rsidR="00EA7510" w:rsidRPr="006845C3" w:rsidRDefault="00EA7510" w:rsidP="00577A03">
            <w:pPr>
              <w:pStyle w:val="Textoindependiente2"/>
              <w:rPr>
                <w:rFonts w:ascii="Times New Roman" w:hAnsi="Times New Roman"/>
                <w:b/>
                <w:sz w:val="24"/>
                <w:szCs w:val="24"/>
                <w:lang w:val="es-ES" w:eastAsia="en-US"/>
              </w:rPr>
            </w:pPr>
            <w:r w:rsidRPr="006845C3">
              <w:rPr>
                <w:rFonts w:ascii="Times New Roman" w:hAnsi="Times New Roman"/>
                <w:b/>
                <w:sz w:val="24"/>
                <w:szCs w:val="24"/>
                <w:lang w:val="es-ES" w:eastAsia="en-US"/>
              </w:rPr>
              <w:t>DESCRIPCIÓN</w:t>
            </w:r>
          </w:p>
        </w:tc>
        <w:tc>
          <w:tcPr>
            <w:tcW w:w="1701" w:type="dxa"/>
          </w:tcPr>
          <w:p w:rsidR="00EA7510" w:rsidRPr="006845C3" w:rsidRDefault="00EA7510" w:rsidP="00577A03">
            <w:pPr>
              <w:pStyle w:val="Textoindependiente2"/>
              <w:rPr>
                <w:rFonts w:ascii="Times New Roman" w:hAnsi="Times New Roman"/>
                <w:b/>
                <w:sz w:val="24"/>
                <w:szCs w:val="24"/>
                <w:lang w:val="es-ES" w:eastAsia="en-US"/>
              </w:rPr>
            </w:pPr>
            <w:r w:rsidRPr="006845C3">
              <w:rPr>
                <w:rFonts w:ascii="Times New Roman" w:hAnsi="Times New Roman"/>
                <w:b/>
                <w:sz w:val="24"/>
                <w:szCs w:val="24"/>
                <w:lang w:val="es-ES" w:eastAsia="en-US"/>
              </w:rPr>
              <w:t>AREA (m2)</w:t>
            </w:r>
          </w:p>
        </w:tc>
        <w:tc>
          <w:tcPr>
            <w:tcW w:w="1417" w:type="dxa"/>
          </w:tcPr>
          <w:p w:rsidR="00EA7510" w:rsidRPr="006845C3" w:rsidRDefault="00EA7510" w:rsidP="00577A03">
            <w:pPr>
              <w:pStyle w:val="Textoindependiente2"/>
              <w:rPr>
                <w:rFonts w:ascii="Times New Roman" w:hAnsi="Times New Roman"/>
                <w:b/>
                <w:sz w:val="24"/>
                <w:szCs w:val="24"/>
                <w:lang w:val="es-ES" w:eastAsia="en-US"/>
              </w:rPr>
            </w:pPr>
            <w:r w:rsidRPr="006845C3">
              <w:rPr>
                <w:rFonts w:ascii="Times New Roman" w:hAnsi="Times New Roman"/>
                <w:b/>
                <w:sz w:val="24"/>
                <w:szCs w:val="24"/>
                <w:lang w:val="es-ES" w:eastAsia="en-US"/>
              </w:rPr>
              <w:t>%</w:t>
            </w:r>
          </w:p>
        </w:tc>
        <w:tc>
          <w:tcPr>
            <w:tcW w:w="1701" w:type="dxa"/>
          </w:tcPr>
          <w:p w:rsidR="00EA7510" w:rsidRPr="006845C3" w:rsidRDefault="00EA7510" w:rsidP="00577A03">
            <w:pPr>
              <w:pStyle w:val="Textoindependiente2"/>
              <w:rPr>
                <w:rFonts w:ascii="Times New Roman" w:hAnsi="Times New Roman"/>
                <w:b/>
                <w:sz w:val="24"/>
                <w:szCs w:val="24"/>
                <w:lang w:val="es-ES" w:eastAsia="en-US"/>
              </w:rPr>
            </w:pPr>
            <w:r w:rsidRPr="006845C3">
              <w:rPr>
                <w:rFonts w:ascii="Times New Roman" w:hAnsi="Times New Roman"/>
                <w:b/>
                <w:sz w:val="24"/>
                <w:szCs w:val="24"/>
                <w:lang w:val="es-ES" w:eastAsia="en-US"/>
              </w:rPr>
              <w:t>ÀREA ÙTIL</w:t>
            </w:r>
          </w:p>
        </w:tc>
      </w:tr>
      <w:tr w:rsidR="00EA7510" w:rsidRPr="006845C3" w:rsidTr="00EA7510">
        <w:trPr>
          <w:jc w:val="center"/>
        </w:trPr>
        <w:tc>
          <w:tcPr>
            <w:tcW w:w="3227" w:type="dxa"/>
          </w:tcPr>
          <w:p w:rsidR="00EA7510" w:rsidRPr="006845C3" w:rsidRDefault="00EA7510" w:rsidP="00577A03">
            <w:pPr>
              <w:pStyle w:val="Textoindependiente2"/>
              <w:jc w:val="both"/>
              <w:rPr>
                <w:rFonts w:ascii="Times New Roman" w:hAnsi="Times New Roman"/>
                <w:sz w:val="24"/>
                <w:szCs w:val="24"/>
                <w:lang w:val="es-ES" w:eastAsia="en-US"/>
              </w:rPr>
            </w:pPr>
            <w:r w:rsidRPr="006845C3">
              <w:rPr>
                <w:rFonts w:ascii="Times New Roman" w:hAnsi="Times New Roman"/>
                <w:sz w:val="24"/>
                <w:szCs w:val="24"/>
                <w:lang w:val="es-ES" w:eastAsia="en-US"/>
              </w:rPr>
              <w:t>ÁREA ÚTIL</w:t>
            </w:r>
          </w:p>
          <w:p w:rsidR="00EA7510" w:rsidRPr="006845C3" w:rsidRDefault="00EA7510" w:rsidP="00577A03">
            <w:pPr>
              <w:pStyle w:val="Textoindependiente2"/>
              <w:jc w:val="both"/>
              <w:rPr>
                <w:rFonts w:ascii="Times New Roman" w:hAnsi="Times New Roman"/>
                <w:sz w:val="24"/>
                <w:szCs w:val="24"/>
                <w:lang w:val="es-ES" w:eastAsia="en-US"/>
              </w:rPr>
            </w:pPr>
            <w:r w:rsidRPr="006845C3">
              <w:rPr>
                <w:rFonts w:ascii="Times New Roman" w:hAnsi="Times New Roman"/>
                <w:sz w:val="24"/>
                <w:szCs w:val="24"/>
                <w:lang w:val="es-ES" w:eastAsia="en-US"/>
              </w:rPr>
              <w:t>ÁREA DE VÍAS</w:t>
            </w:r>
          </w:p>
          <w:p w:rsidR="00EA7510" w:rsidRPr="006845C3" w:rsidRDefault="00EA7510" w:rsidP="00577A03">
            <w:pPr>
              <w:pStyle w:val="Textoindependiente2"/>
              <w:jc w:val="both"/>
              <w:rPr>
                <w:rFonts w:ascii="Times New Roman" w:hAnsi="Times New Roman"/>
                <w:sz w:val="24"/>
                <w:szCs w:val="24"/>
                <w:lang w:val="es-ES" w:eastAsia="en-US"/>
              </w:rPr>
            </w:pPr>
            <w:r w:rsidRPr="006845C3">
              <w:rPr>
                <w:rFonts w:ascii="Times New Roman" w:hAnsi="Times New Roman"/>
                <w:sz w:val="24"/>
                <w:szCs w:val="24"/>
                <w:lang w:val="es-ES" w:eastAsia="en-US"/>
              </w:rPr>
              <w:t>ÁREA DE ACERAS</w:t>
            </w:r>
          </w:p>
          <w:p w:rsidR="00EA7510" w:rsidRPr="006845C3" w:rsidRDefault="00EA7510" w:rsidP="00577A03">
            <w:pPr>
              <w:pStyle w:val="Textoindependiente2"/>
              <w:jc w:val="both"/>
              <w:rPr>
                <w:rFonts w:ascii="Times New Roman" w:hAnsi="Times New Roman"/>
                <w:sz w:val="24"/>
                <w:szCs w:val="24"/>
                <w:lang w:val="es-ES" w:eastAsia="en-US"/>
              </w:rPr>
            </w:pPr>
            <w:r w:rsidRPr="006845C3">
              <w:rPr>
                <w:rFonts w:ascii="Times New Roman" w:hAnsi="Times New Roman"/>
                <w:sz w:val="24"/>
                <w:szCs w:val="24"/>
                <w:lang w:val="es-ES" w:eastAsia="en-US"/>
              </w:rPr>
              <w:t>ÁREA VERDE</w:t>
            </w:r>
          </w:p>
          <w:p w:rsidR="00EA7510" w:rsidRPr="006845C3" w:rsidRDefault="00EA7510" w:rsidP="00577A03">
            <w:pPr>
              <w:pStyle w:val="Textoindependiente2"/>
              <w:jc w:val="both"/>
              <w:rPr>
                <w:rFonts w:ascii="Times New Roman" w:hAnsi="Times New Roman"/>
                <w:sz w:val="24"/>
                <w:szCs w:val="24"/>
                <w:lang w:val="es-ES" w:eastAsia="en-US"/>
              </w:rPr>
            </w:pPr>
            <w:r w:rsidRPr="006845C3">
              <w:rPr>
                <w:rFonts w:ascii="Times New Roman" w:hAnsi="Times New Roman"/>
                <w:sz w:val="24"/>
                <w:szCs w:val="24"/>
                <w:lang w:val="es-ES" w:eastAsia="en-US"/>
              </w:rPr>
              <w:t>ÁREA TOTAL DEL TERRENO</w:t>
            </w:r>
          </w:p>
        </w:tc>
        <w:tc>
          <w:tcPr>
            <w:tcW w:w="1701" w:type="dxa"/>
          </w:tcPr>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86015.65</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33462.33</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11920.44</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8601.58</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140000.00</w:t>
            </w:r>
          </w:p>
        </w:tc>
        <w:tc>
          <w:tcPr>
            <w:tcW w:w="1417" w:type="dxa"/>
          </w:tcPr>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61.43975</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23.90166</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8.51460</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6.14399</w:t>
            </w: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100,00</w:t>
            </w:r>
          </w:p>
        </w:tc>
        <w:tc>
          <w:tcPr>
            <w:tcW w:w="1701" w:type="dxa"/>
          </w:tcPr>
          <w:p w:rsidR="00EA7510" w:rsidRPr="006845C3" w:rsidRDefault="00EA7510" w:rsidP="00577A03">
            <w:pPr>
              <w:pStyle w:val="Textoindependiente2"/>
              <w:jc w:val="both"/>
              <w:rPr>
                <w:rFonts w:ascii="Times New Roman" w:hAnsi="Times New Roman"/>
                <w:sz w:val="24"/>
                <w:szCs w:val="24"/>
                <w:lang w:val="es-ES" w:eastAsia="en-US"/>
              </w:rPr>
            </w:pPr>
          </w:p>
          <w:p w:rsidR="00EA7510" w:rsidRPr="006845C3" w:rsidRDefault="00EA7510" w:rsidP="00577A03">
            <w:pPr>
              <w:pStyle w:val="Textoindependiente2"/>
              <w:jc w:val="right"/>
              <w:rPr>
                <w:rFonts w:ascii="Times New Roman" w:hAnsi="Times New Roman"/>
                <w:sz w:val="24"/>
                <w:szCs w:val="24"/>
                <w:lang w:val="es-ES" w:eastAsia="en-US"/>
              </w:rPr>
            </w:pPr>
          </w:p>
          <w:p w:rsidR="00EA7510" w:rsidRPr="006845C3" w:rsidRDefault="00EA7510" w:rsidP="00577A03">
            <w:pPr>
              <w:pStyle w:val="Textoindependiente2"/>
              <w:jc w:val="right"/>
              <w:rPr>
                <w:rFonts w:ascii="Times New Roman" w:hAnsi="Times New Roman"/>
                <w:sz w:val="24"/>
                <w:szCs w:val="24"/>
                <w:lang w:val="es-ES" w:eastAsia="en-US"/>
              </w:rPr>
            </w:pPr>
          </w:p>
          <w:p w:rsidR="00EA7510" w:rsidRPr="006845C3" w:rsidRDefault="00EA7510" w:rsidP="00577A03">
            <w:pPr>
              <w:pStyle w:val="Textoindependiente2"/>
              <w:jc w:val="right"/>
              <w:rPr>
                <w:rFonts w:ascii="Times New Roman" w:hAnsi="Times New Roman"/>
                <w:sz w:val="24"/>
                <w:szCs w:val="24"/>
                <w:lang w:val="es-ES" w:eastAsia="en-US"/>
              </w:rPr>
            </w:pPr>
            <w:r w:rsidRPr="006845C3">
              <w:rPr>
                <w:rFonts w:ascii="Times New Roman" w:hAnsi="Times New Roman"/>
                <w:sz w:val="24"/>
                <w:szCs w:val="24"/>
                <w:lang w:val="es-ES" w:eastAsia="en-US"/>
              </w:rPr>
              <w:t>10 %</w:t>
            </w:r>
          </w:p>
        </w:tc>
      </w:tr>
    </w:tbl>
    <w:p w:rsidR="00347937" w:rsidRPr="006845C3" w:rsidRDefault="0034793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De igual manera, los urbanizadores transfieren en forma definitiva a favor del Gobierno Autónomo Descentralizado Municipal</w:t>
      </w:r>
      <w:r w:rsidR="00D63D25" w:rsidRPr="006845C3">
        <w:rPr>
          <w:rFonts w:ascii="Times New Roman" w:hAnsi="Times New Roman" w:cs="Times New Roman"/>
          <w:sz w:val="24"/>
          <w:szCs w:val="24"/>
        </w:rPr>
        <w:t xml:space="preserve"> del cantón </w:t>
      </w:r>
      <w:r w:rsidRPr="006845C3">
        <w:rPr>
          <w:rFonts w:ascii="Times New Roman" w:hAnsi="Times New Roman" w:cs="Times New Roman"/>
          <w:sz w:val="24"/>
          <w:szCs w:val="24"/>
        </w:rPr>
        <w:t xml:space="preserve">de Riobamba por concepto de vías la superficie de </w:t>
      </w:r>
      <w:r w:rsidR="00471442" w:rsidRPr="006845C3">
        <w:rPr>
          <w:rFonts w:ascii="Times New Roman" w:hAnsi="Times New Roman" w:cs="Times New Roman"/>
          <w:sz w:val="24"/>
          <w:szCs w:val="24"/>
        </w:rPr>
        <w:t xml:space="preserve">33462.33 </w:t>
      </w:r>
      <w:r w:rsidRPr="006845C3">
        <w:rPr>
          <w:rFonts w:ascii="Times New Roman" w:hAnsi="Times New Roman" w:cs="Times New Roman"/>
          <w:sz w:val="24"/>
          <w:szCs w:val="24"/>
        </w:rPr>
        <w:t>m2, de acuerdo a los planos aprobados.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6.-</w:t>
      </w:r>
      <w:r w:rsidR="00F30B47" w:rsidRPr="006845C3">
        <w:rPr>
          <w:rFonts w:ascii="Times New Roman" w:hAnsi="Times New Roman" w:cs="Times New Roman"/>
          <w:sz w:val="24"/>
          <w:szCs w:val="24"/>
        </w:rPr>
        <w:t xml:space="preserve"> El Urbanizador tiene el plazo de 60 días a partir de la sanción de la  presente Ordenanza para protocolizar la misma en una de las notarías e inscribirla en el Registro de la Propiedad del Cantón Riobamba, y entregar 6 copias certificadas de la misma en Secretaría General  del Concejo Cantonal;  comunicará por escrito a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de Gestión de  Obras Públicas el inicio de las obras de urbanización.</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Por motivos de valoración y capitalización el presupuesto referencial para obras de infraestructura de conformidad con los estudios respectivos aprobados por: Empresa Municipal de Agua Potable y Alcantarillado (EP-EMAPAR); Corporación Nacional de Telecomunicaciones (CNT); Empresa Eléctrica Riobamba S.A.(E.E.R.S.A); Gobierno Autónomo Descentralizado Municipal </w:t>
      </w:r>
      <w:r w:rsidR="00D63D25" w:rsidRPr="006845C3">
        <w:rPr>
          <w:rFonts w:ascii="Times New Roman" w:hAnsi="Times New Roman" w:cs="Times New Roman"/>
          <w:sz w:val="24"/>
          <w:szCs w:val="24"/>
        </w:rPr>
        <w:t xml:space="preserve">del cantón </w:t>
      </w:r>
      <w:r w:rsidRPr="006845C3">
        <w:rPr>
          <w:rFonts w:ascii="Times New Roman" w:hAnsi="Times New Roman" w:cs="Times New Roman"/>
          <w:sz w:val="24"/>
          <w:szCs w:val="24"/>
        </w:rPr>
        <w:t xml:space="preserve">Riobamba (GADM de Riobamba), actualizado a la fecha (revisado por la Dirección </w:t>
      </w:r>
      <w:r w:rsidR="00964432">
        <w:rPr>
          <w:rFonts w:ascii="Times New Roman" w:hAnsi="Times New Roman" w:cs="Times New Roman"/>
          <w:sz w:val="24"/>
          <w:szCs w:val="24"/>
        </w:rPr>
        <w:t xml:space="preserve">General </w:t>
      </w:r>
      <w:r w:rsidRPr="006845C3">
        <w:rPr>
          <w:rFonts w:ascii="Times New Roman" w:hAnsi="Times New Roman" w:cs="Times New Roman"/>
          <w:sz w:val="24"/>
          <w:szCs w:val="24"/>
        </w:rPr>
        <w:t xml:space="preserve">de Gestión de Obras Públicas conforme se desprende del informe emitido mediante memorando No. </w:t>
      </w:r>
      <w:r w:rsidR="00471442" w:rsidRPr="006845C3">
        <w:rPr>
          <w:rFonts w:ascii="Times New Roman" w:hAnsi="Times New Roman" w:cs="Times New Roman"/>
          <w:sz w:val="24"/>
          <w:szCs w:val="24"/>
        </w:rPr>
        <w:t>GADMR-GOP-2019-0548-M</w:t>
      </w:r>
      <w:r w:rsidRPr="006845C3">
        <w:rPr>
          <w:rFonts w:ascii="Times New Roman" w:hAnsi="Times New Roman" w:cs="Times New Roman"/>
          <w:sz w:val="24"/>
          <w:szCs w:val="24"/>
        </w:rPr>
        <w:t xml:space="preserve"> de </w:t>
      </w:r>
      <w:r w:rsidR="00471442" w:rsidRPr="006845C3">
        <w:rPr>
          <w:rFonts w:ascii="Times New Roman" w:hAnsi="Times New Roman" w:cs="Times New Roman"/>
          <w:sz w:val="24"/>
          <w:szCs w:val="24"/>
        </w:rPr>
        <w:t>23 de abril del 2019, suscrito</w:t>
      </w:r>
      <w:r w:rsidRPr="006845C3">
        <w:rPr>
          <w:rFonts w:ascii="Times New Roman" w:hAnsi="Times New Roman" w:cs="Times New Roman"/>
          <w:sz w:val="24"/>
          <w:szCs w:val="24"/>
        </w:rPr>
        <w:t xml:space="preserve"> por el Ingeniero Edgar Medina, Director de Gestión de Obras Públicas) se desglosa de la siguiente manera:</w:t>
      </w:r>
    </w:p>
    <w:p w:rsidR="00F30B47" w:rsidRPr="006845C3" w:rsidRDefault="00F30B47" w:rsidP="00577A03">
      <w:pPr>
        <w:pStyle w:val="Sinespaciado"/>
        <w:jc w:val="both"/>
        <w:rPr>
          <w:rFonts w:ascii="Times New Roman" w:hAnsi="Times New Roman" w:cs="Times New Roman"/>
          <w:sz w:val="24"/>
          <w:szCs w:val="24"/>
        </w:rPr>
      </w:pPr>
    </w:p>
    <w:p w:rsidR="00F30B47" w:rsidRPr="00E41790" w:rsidRDefault="00F30B47" w:rsidP="00577A03">
      <w:pPr>
        <w:pStyle w:val="Sinespaciado"/>
        <w:jc w:val="both"/>
        <w:rPr>
          <w:rFonts w:ascii="Times New Roman" w:hAnsi="Times New Roman" w:cs="Times New Roman"/>
          <w:sz w:val="24"/>
          <w:szCs w:val="24"/>
        </w:rPr>
      </w:pPr>
      <w:r w:rsidRPr="00E41790">
        <w:rPr>
          <w:rFonts w:ascii="Times New Roman" w:hAnsi="Times New Roman" w:cs="Times New Roman"/>
          <w:sz w:val="24"/>
          <w:szCs w:val="24"/>
        </w:rPr>
        <w:tab/>
      </w:r>
    </w:p>
    <w:tbl>
      <w:tblPr>
        <w:tblStyle w:val="Tablaconcuadrcula"/>
        <w:tblW w:w="10065" w:type="dxa"/>
        <w:tblInd w:w="-714" w:type="dxa"/>
        <w:tblLayout w:type="fixed"/>
        <w:tblLook w:val="04A0" w:firstRow="1" w:lastRow="0" w:firstColumn="1" w:lastColumn="0" w:noHBand="0" w:noVBand="1"/>
      </w:tblPr>
      <w:tblGrid>
        <w:gridCol w:w="567"/>
        <w:gridCol w:w="1673"/>
        <w:gridCol w:w="879"/>
        <w:gridCol w:w="567"/>
        <w:gridCol w:w="709"/>
        <w:gridCol w:w="992"/>
        <w:gridCol w:w="822"/>
        <w:gridCol w:w="879"/>
        <w:gridCol w:w="992"/>
        <w:gridCol w:w="993"/>
        <w:gridCol w:w="992"/>
      </w:tblGrid>
      <w:tr w:rsidR="00471442" w:rsidRPr="00987F50" w:rsidTr="0078529D">
        <w:tc>
          <w:tcPr>
            <w:tcW w:w="10065" w:type="dxa"/>
            <w:gridSpan w:val="11"/>
          </w:tcPr>
          <w:p w:rsidR="00471442" w:rsidRPr="00987F50" w:rsidRDefault="00471442" w:rsidP="00577A03">
            <w:pPr>
              <w:jc w:val="center"/>
              <w:rPr>
                <w:b/>
              </w:rPr>
            </w:pPr>
            <w:r w:rsidRPr="00987F50">
              <w:rPr>
                <w:b/>
              </w:rPr>
              <w:t>PRESUPUESTO DE OBRAS</w:t>
            </w:r>
          </w:p>
        </w:tc>
      </w:tr>
      <w:tr w:rsidR="00471442" w:rsidRPr="00987F50" w:rsidTr="0078529D">
        <w:tc>
          <w:tcPr>
            <w:tcW w:w="10065" w:type="dxa"/>
            <w:gridSpan w:val="11"/>
          </w:tcPr>
          <w:p w:rsidR="00471442" w:rsidRPr="00987F50" w:rsidRDefault="00471442" w:rsidP="00577A03">
            <w:pPr>
              <w:jc w:val="center"/>
              <w:rPr>
                <w:b/>
              </w:rPr>
            </w:pPr>
            <w:r w:rsidRPr="00987F50">
              <w:rPr>
                <w:b/>
              </w:rPr>
              <w:t>URBANIZACIÓN SAN PEDRO DE RIOBAMBA</w:t>
            </w:r>
          </w:p>
        </w:tc>
      </w:tr>
      <w:tr w:rsidR="00471442" w:rsidRPr="00987F50" w:rsidTr="0078529D">
        <w:tc>
          <w:tcPr>
            <w:tcW w:w="10065" w:type="dxa"/>
            <w:gridSpan w:val="11"/>
          </w:tcPr>
          <w:p w:rsidR="00471442" w:rsidRPr="00987F50" w:rsidRDefault="00471442" w:rsidP="00577A03">
            <w:r w:rsidRPr="00987F50">
              <w:t>Propietario:                        Cooperativa de Vivienda San Pedro de Riobamba</w:t>
            </w:r>
          </w:p>
          <w:p w:rsidR="00471442" w:rsidRPr="00987F50" w:rsidRDefault="00471442" w:rsidP="00577A03">
            <w:r w:rsidRPr="00987F50">
              <w:t>Presidente:                         Mario Eduardo Reinoso Vásquez</w:t>
            </w:r>
          </w:p>
          <w:p w:rsidR="00471442" w:rsidRPr="00987F50" w:rsidRDefault="00471442" w:rsidP="00577A03">
            <w:r w:rsidRPr="00987F50">
              <w:t>Elab</w:t>
            </w:r>
            <w:r w:rsidR="00D63D25">
              <w:t xml:space="preserve">oración:                      </w:t>
            </w:r>
            <w:r w:rsidRPr="00987F50">
              <w:t xml:space="preserve">Arq. </w:t>
            </w:r>
            <w:proofErr w:type="spellStart"/>
            <w:r w:rsidRPr="00DF6190">
              <w:t>MSc</w:t>
            </w:r>
            <w:proofErr w:type="spellEnd"/>
            <w:r w:rsidRPr="00987F50">
              <w:t>. Juan Carlos Ulloa Riera</w:t>
            </w:r>
          </w:p>
        </w:tc>
      </w:tr>
      <w:tr w:rsidR="00471442" w:rsidRPr="00987F50" w:rsidTr="00DF6190">
        <w:tc>
          <w:tcPr>
            <w:tcW w:w="567" w:type="dxa"/>
            <w:vMerge w:val="restart"/>
          </w:tcPr>
          <w:p w:rsidR="00471442" w:rsidRPr="00BB61E5" w:rsidRDefault="00471442" w:rsidP="00577A03">
            <w:pPr>
              <w:rPr>
                <w:b/>
                <w:sz w:val="16"/>
                <w:szCs w:val="16"/>
              </w:rPr>
            </w:pPr>
            <w:r w:rsidRPr="00BB61E5">
              <w:rPr>
                <w:b/>
                <w:sz w:val="16"/>
                <w:szCs w:val="16"/>
              </w:rPr>
              <w:t>Cód.</w:t>
            </w:r>
          </w:p>
        </w:tc>
        <w:tc>
          <w:tcPr>
            <w:tcW w:w="1673" w:type="dxa"/>
            <w:vMerge w:val="restart"/>
          </w:tcPr>
          <w:p w:rsidR="00471442" w:rsidRPr="00BB61E5" w:rsidRDefault="00471442" w:rsidP="00577A03">
            <w:pPr>
              <w:rPr>
                <w:b/>
                <w:sz w:val="16"/>
                <w:szCs w:val="16"/>
              </w:rPr>
            </w:pPr>
            <w:r w:rsidRPr="00BB61E5">
              <w:rPr>
                <w:b/>
                <w:sz w:val="16"/>
                <w:szCs w:val="16"/>
              </w:rPr>
              <w:t>Concepto</w:t>
            </w:r>
          </w:p>
        </w:tc>
        <w:tc>
          <w:tcPr>
            <w:tcW w:w="879" w:type="dxa"/>
            <w:vMerge w:val="restart"/>
          </w:tcPr>
          <w:p w:rsidR="00471442" w:rsidRPr="00BB61E5" w:rsidRDefault="00471442" w:rsidP="00577A03">
            <w:pPr>
              <w:rPr>
                <w:b/>
                <w:sz w:val="16"/>
                <w:szCs w:val="16"/>
              </w:rPr>
            </w:pPr>
            <w:r w:rsidRPr="00BB61E5">
              <w:rPr>
                <w:b/>
                <w:sz w:val="16"/>
                <w:szCs w:val="16"/>
              </w:rPr>
              <w:t>Lado 1</w:t>
            </w:r>
          </w:p>
        </w:tc>
        <w:tc>
          <w:tcPr>
            <w:tcW w:w="567" w:type="dxa"/>
            <w:vMerge w:val="restart"/>
          </w:tcPr>
          <w:p w:rsidR="00471442" w:rsidRPr="00BB61E5" w:rsidRDefault="00471442" w:rsidP="00577A03">
            <w:pPr>
              <w:rPr>
                <w:b/>
                <w:sz w:val="16"/>
                <w:szCs w:val="16"/>
              </w:rPr>
            </w:pPr>
            <w:r w:rsidRPr="00BB61E5">
              <w:rPr>
                <w:b/>
                <w:sz w:val="16"/>
                <w:szCs w:val="16"/>
              </w:rPr>
              <w:t>Lado 2</w:t>
            </w:r>
          </w:p>
        </w:tc>
        <w:tc>
          <w:tcPr>
            <w:tcW w:w="709" w:type="dxa"/>
            <w:vMerge w:val="restart"/>
          </w:tcPr>
          <w:p w:rsidR="00471442" w:rsidRPr="00BB61E5" w:rsidRDefault="00471442" w:rsidP="00577A03">
            <w:pPr>
              <w:rPr>
                <w:b/>
                <w:sz w:val="16"/>
                <w:szCs w:val="16"/>
              </w:rPr>
            </w:pPr>
            <w:r w:rsidRPr="00BB61E5">
              <w:rPr>
                <w:b/>
                <w:sz w:val="16"/>
                <w:szCs w:val="16"/>
              </w:rPr>
              <w:t>Altura</w:t>
            </w:r>
          </w:p>
        </w:tc>
        <w:tc>
          <w:tcPr>
            <w:tcW w:w="992" w:type="dxa"/>
            <w:vMerge w:val="restart"/>
          </w:tcPr>
          <w:p w:rsidR="00471442" w:rsidRPr="00BB61E5" w:rsidRDefault="00471442" w:rsidP="00577A03">
            <w:pPr>
              <w:rPr>
                <w:b/>
                <w:sz w:val="16"/>
                <w:szCs w:val="16"/>
              </w:rPr>
            </w:pPr>
            <w:r w:rsidRPr="00BB61E5">
              <w:rPr>
                <w:b/>
                <w:sz w:val="16"/>
                <w:szCs w:val="16"/>
              </w:rPr>
              <w:t>Cant</w:t>
            </w:r>
            <w:r w:rsidR="00DF6190">
              <w:rPr>
                <w:b/>
                <w:sz w:val="16"/>
                <w:szCs w:val="16"/>
              </w:rPr>
              <w:t>idad</w:t>
            </w:r>
            <w:r>
              <w:rPr>
                <w:b/>
                <w:sz w:val="16"/>
                <w:szCs w:val="16"/>
              </w:rPr>
              <w:t>.</w:t>
            </w:r>
          </w:p>
        </w:tc>
        <w:tc>
          <w:tcPr>
            <w:tcW w:w="822" w:type="dxa"/>
            <w:vMerge w:val="restart"/>
          </w:tcPr>
          <w:p w:rsidR="00471442" w:rsidRPr="00BB61E5" w:rsidRDefault="00471442" w:rsidP="00577A03">
            <w:pPr>
              <w:rPr>
                <w:b/>
                <w:sz w:val="16"/>
                <w:szCs w:val="16"/>
              </w:rPr>
            </w:pPr>
            <w:r w:rsidRPr="00BB61E5">
              <w:rPr>
                <w:b/>
                <w:sz w:val="16"/>
                <w:szCs w:val="16"/>
              </w:rPr>
              <w:t>Unidad</w:t>
            </w:r>
          </w:p>
        </w:tc>
        <w:tc>
          <w:tcPr>
            <w:tcW w:w="879" w:type="dxa"/>
            <w:vMerge w:val="restart"/>
          </w:tcPr>
          <w:p w:rsidR="00471442" w:rsidRPr="00BB61E5" w:rsidRDefault="00471442" w:rsidP="00577A03">
            <w:pPr>
              <w:rPr>
                <w:b/>
                <w:sz w:val="16"/>
                <w:szCs w:val="16"/>
              </w:rPr>
            </w:pPr>
            <w:r w:rsidRPr="00BB61E5">
              <w:rPr>
                <w:b/>
                <w:sz w:val="16"/>
                <w:szCs w:val="16"/>
              </w:rPr>
              <w:t>Cantidad</w:t>
            </w:r>
          </w:p>
        </w:tc>
        <w:tc>
          <w:tcPr>
            <w:tcW w:w="992" w:type="dxa"/>
            <w:vMerge w:val="restart"/>
          </w:tcPr>
          <w:p w:rsidR="00471442" w:rsidRPr="00BB61E5" w:rsidRDefault="00471442" w:rsidP="00577A03">
            <w:pPr>
              <w:rPr>
                <w:b/>
                <w:sz w:val="16"/>
                <w:szCs w:val="16"/>
              </w:rPr>
            </w:pPr>
            <w:r w:rsidRPr="00BB61E5">
              <w:rPr>
                <w:b/>
                <w:sz w:val="16"/>
                <w:szCs w:val="16"/>
              </w:rPr>
              <w:t>P. Unitario</w:t>
            </w:r>
          </w:p>
        </w:tc>
        <w:tc>
          <w:tcPr>
            <w:tcW w:w="1985" w:type="dxa"/>
            <w:gridSpan w:val="2"/>
          </w:tcPr>
          <w:p w:rsidR="00471442" w:rsidRPr="00BB61E5" w:rsidRDefault="00471442" w:rsidP="00577A03">
            <w:pPr>
              <w:jc w:val="center"/>
              <w:rPr>
                <w:b/>
                <w:sz w:val="16"/>
                <w:szCs w:val="16"/>
              </w:rPr>
            </w:pPr>
            <w:r w:rsidRPr="00BB61E5">
              <w:rPr>
                <w:b/>
                <w:sz w:val="16"/>
                <w:szCs w:val="16"/>
              </w:rPr>
              <w:t>Costo Total</w:t>
            </w:r>
          </w:p>
        </w:tc>
      </w:tr>
      <w:tr w:rsidR="00471442" w:rsidRPr="00987F50" w:rsidTr="00DF6190">
        <w:tc>
          <w:tcPr>
            <w:tcW w:w="567" w:type="dxa"/>
            <w:vMerge/>
          </w:tcPr>
          <w:p w:rsidR="00471442" w:rsidRPr="00BB61E5" w:rsidRDefault="00471442" w:rsidP="00577A03">
            <w:pPr>
              <w:rPr>
                <w:b/>
                <w:sz w:val="16"/>
                <w:szCs w:val="16"/>
              </w:rPr>
            </w:pPr>
          </w:p>
        </w:tc>
        <w:tc>
          <w:tcPr>
            <w:tcW w:w="1673" w:type="dxa"/>
            <w:vMerge/>
          </w:tcPr>
          <w:p w:rsidR="00471442" w:rsidRPr="00BB61E5" w:rsidRDefault="00471442" w:rsidP="00577A03">
            <w:pPr>
              <w:rPr>
                <w:b/>
                <w:sz w:val="16"/>
                <w:szCs w:val="16"/>
              </w:rPr>
            </w:pPr>
          </w:p>
        </w:tc>
        <w:tc>
          <w:tcPr>
            <w:tcW w:w="879" w:type="dxa"/>
            <w:vMerge/>
          </w:tcPr>
          <w:p w:rsidR="00471442" w:rsidRPr="00BB61E5" w:rsidRDefault="00471442" w:rsidP="00577A03">
            <w:pPr>
              <w:rPr>
                <w:b/>
                <w:sz w:val="16"/>
                <w:szCs w:val="16"/>
              </w:rPr>
            </w:pPr>
          </w:p>
        </w:tc>
        <w:tc>
          <w:tcPr>
            <w:tcW w:w="567" w:type="dxa"/>
            <w:vMerge/>
          </w:tcPr>
          <w:p w:rsidR="00471442" w:rsidRPr="00BB61E5" w:rsidRDefault="00471442" w:rsidP="00577A03">
            <w:pPr>
              <w:rPr>
                <w:b/>
                <w:sz w:val="16"/>
                <w:szCs w:val="16"/>
              </w:rPr>
            </w:pPr>
          </w:p>
        </w:tc>
        <w:tc>
          <w:tcPr>
            <w:tcW w:w="709" w:type="dxa"/>
            <w:vMerge/>
          </w:tcPr>
          <w:p w:rsidR="00471442" w:rsidRPr="00BB61E5" w:rsidRDefault="00471442" w:rsidP="00577A03">
            <w:pPr>
              <w:rPr>
                <w:b/>
                <w:sz w:val="16"/>
                <w:szCs w:val="16"/>
              </w:rPr>
            </w:pPr>
          </w:p>
        </w:tc>
        <w:tc>
          <w:tcPr>
            <w:tcW w:w="992" w:type="dxa"/>
            <w:vMerge/>
          </w:tcPr>
          <w:p w:rsidR="00471442" w:rsidRPr="00BB61E5" w:rsidRDefault="00471442" w:rsidP="00577A03">
            <w:pPr>
              <w:rPr>
                <w:b/>
                <w:sz w:val="16"/>
                <w:szCs w:val="16"/>
              </w:rPr>
            </w:pPr>
          </w:p>
        </w:tc>
        <w:tc>
          <w:tcPr>
            <w:tcW w:w="822" w:type="dxa"/>
            <w:vMerge/>
          </w:tcPr>
          <w:p w:rsidR="00471442" w:rsidRPr="00BB61E5" w:rsidRDefault="00471442" w:rsidP="00577A03">
            <w:pPr>
              <w:rPr>
                <w:b/>
                <w:sz w:val="16"/>
                <w:szCs w:val="16"/>
              </w:rPr>
            </w:pPr>
          </w:p>
        </w:tc>
        <w:tc>
          <w:tcPr>
            <w:tcW w:w="879" w:type="dxa"/>
            <w:vMerge/>
          </w:tcPr>
          <w:p w:rsidR="00471442" w:rsidRPr="00BB61E5" w:rsidRDefault="00471442" w:rsidP="00577A03">
            <w:pPr>
              <w:rPr>
                <w:b/>
                <w:sz w:val="16"/>
                <w:szCs w:val="16"/>
              </w:rPr>
            </w:pPr>
          </w:p>
        </w:tc>
        <w:tc>
          <w:tcPr>
            <w:tcW w:w="992" w:type="dxa"/>
            <w:vMerge/>
          </w:tcPr>
          <w:p w:rsidR="00471442" w:rsidRPr="00BB61E5" w:rsidRDefault="00471442" w:rsidP="00577A03">
            <w:pPr>
              <w:rPr>
                <w:b/>
                <w:sz w:val="16"/>
                <w:szCs w:val="16"/>
              </w:rPr>
            </w:pPr>
          </w:p>
        </w:tc>
        <w:tc>
          <w:tcPr>
            <w:tcW w:w="993" w:type="dxa"/>
          </w:tcPr>
          <w:p w:rsidR="00471442" w:rsidRPr="00BB61E5" w:rsidRDefault="00471442" w:rsidP="00577A03">
            <w:pPr>
              <w:rPr>
                <w:b/>
                <w:sz w:val="16"/>
                <w:szCs w:val="16"/>
              </w:rPr>
            </w:pPr>
            <w:r w:rsidRPr="00BB61E5">
              <w:rPr>
                <w:b/>
                <w:sz w:val="16"/>
                <w:szCs w:val="16"/>
              </w:rPr>
              <w:t>Parcial</w:t>
            </w:r>
          </w:p>
        </w:tc>
        <w:tc>
          <w:tcPr>
            <w:tcW w:w="992" w:type="dxa"/>
          </w:tcPr>
          <w:p w:rsidR="00471442" w:rsidRPr="00BB61E5" w:rsidRDefault="00471442" w:rsidP="00577A03">
            <w:pPr>
              <w:rPr>
                <w:b/>
                <w:sz w:val="16"/>
                <w:szCs w:val="16"/>
              </w:rPr>
            </w:pPr>
            <w:r w:rsidRPr="00BB61E5">
              <w:rPr>
                <w:b/>
                <w:sz w:val="16"/>
                <w:szCs w:val="16"/>
              </w:rPr>
              <w:t>Capítulos</w:t>
            </w: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b/>
                <w:sz w:val="16"/>
                <w:szCs w:val="16"/>
              </w:rPr>
            </w:pPr>
            <w:r w:rsidRPr="00BB61E5">
              <w:rPr>
                <w:b/>
                <w:sz w:val="16"/>
                <w:szCs w:val="16"/>
              </w:rPr>
              <w:t>Obras Civiles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r w:rsidRPr="00BB61E5">
              <w:rPr>
                <w:b/>
                <w:sz w:val="16"/>
                <w:szCs w:val="16"/>
              </w:rPr>
              <w:t>840.139,35</w:t>
            </w:r>
          </w:p>
        </w:tc>
      </w:tr>
      <w:tr w:rsidR="00471442" w:rsidRPr="00987F50" w:rsidTr="00DF6190">
        <w:tc>
          <w:tcPr>
            <w:tcW w:w="567" w:type="dxa"/>
          </w:tcPr>
          <w:p w:rsidR="00471442" w:rsidRPr="00BB61E5" w:rsidRDefault="00471442" w:rsidP="00577A03">
            <w:pPr>
              <w:rPr>
                <w:sz w:val="16"/>
                <w:szCs w:val="16"/>
              </w:rPr>
            </w:pPr>
            <w:r w:rsidRPr="00BB61E5">
              <w:rPr>
                <w:sz w:val="16"/>
                <w:szCs w:val="16"/>
              </w:rPr>
              <w:lastRenderedPageBreak/>
              <w:t>1</w:t>
            </w:r>
          </w:p>
        </w:tc>
        <w:tc>
          <w:tcPr>
            <w:tcW w:w="1673" w:type="dxa"/>
          </w:tcPr>
          <w:p w:rsidR="00471442" w:rsidRPr="00BB61E5" w:rsidRDefault="00471442" w:rsidP="00577A03">
            <w:pPr>
              <w:rPr>
                <w:sz w:val="16"/>
                <w:szCs w:val="16"/>
              </w:rPr>
            </w:pPr>
            <w:r w:rsidRPr="00BB61E5">
              <w:rPr>
                <w:sz w:val="16"/>
                <w:szCs w:val="16"/>
              </w:rPr>
              <w:t>Bordillos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7.055,00</w:t>
            </w: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r w:rsidRPr="00BB61E5">
              <w:rPr>
                <w:sz w:val="16"/>
                <w:szCs w:val="16"/>
              </w:rPr>
              <w:t>7.055,00</w:t>
            </w:r>
          </w:p>
        </w:tc>
        <w:tc>
          <w:tcPr>
            <w:tcW w:w="992" w:type="dxa"/>
          </w:tcPr>
          <w:p w:rsidR="00471442" w:rsidRPr="00BB61E5" w:rsidRDefault="00471442" w:rsidP="00577A03">
            <w:pPr>
              <w:jc w:val="right"/>
              <w:rPr>
                <w:sz w:val="16"/>
                <w:szCs w:val="16"/>
              </w:rPr>
            </w:pPr>
            <w:r w:rsidRPr="00BB61E5">
              <w:rPr>
                <w:sz w:val="16"/>
                <w:szCs w:val="16"/>
              </w:rPr>
              <w:t>15.96</w:t>
            </w:r>
          </w:p>
        </w:tc>
        <w:tc>
          <w:tcPr>
            <w:tcW w:w="993" w:type="dxa"/>
          </w:tcPr>
          <w:p w:rsidR="00471442" w:rsidRPr="00BB61E5" w:rsidRDefault="00471442" w:rsidP="00577A03">
            <w:pPr>
              <w:jc w:val="right"/>
              <w:rPr>
                <w:sz w:val="16"/>
                <w:szCs w:val="16"/>
              </w:rPr>
            </w:pPr>
            <w:r w:rsidRPr="00BB61E5">
              <w:rPr>
                <w:sz w:val="16"/>
                <w:szCs w:val="16"/>
              </w:rPr>
              <w:t>112.597,80</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r w:rsidRPr="00BB61E5">
              <w:rPr>
                <w:sz w:val="16"/>
                <w:szCs w:val="16"/>
              </w:rPr>
              <w:t>2</w:t>
            </w:r>
          </w:p>
        </w:tc>
        <w:tc>
          <w:tcPr>
            <w:tcW w:w="1673" w:type="dxa"/>
          </w:tcPr>
          <w:p w:rsidR="00471442" w:rsidRPr="00BB61E5" w:rsidRDefault="00471442" w:rsidP="00577A03">
            <w:pPr>
              <w:rPr>
                <w:sz w:val="16"/>
                <w:szCs w:val="16"/>
              </w:rPr>
            </w:pPr>
            <w:r w:rsidRPr="00BB61E5">
              <w:rPr>
                <w:sz w:val="16"/>
                <w:szCs w:val="16"/>
              </w:rPr>
              <w:t>Aceras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10.509,44</w:t>
            </w:r>
          </w:p>
        </w:tc>
        <w:tc>
          <w:tcPr>
            <w:tcW w:w="822" w:type="dxa"/>
          </w:tcPr>
          <w:p w:rsidR="00471442" w:rsidRPr="00BB61E5" w:rsidRDefault="00471442" w:rsidP="00577A03">
            <w:pPr>
              <w:jc w:val="center"/>
              <w:rPr>
                <w:sz w:val="16"/>
                <w:szCs w:val="16"/>
              </w:rPr>
            </w:pPr>
            <w:r w:rsidRPr="00BB61E5">
              <w:rPr>
                <w:sz w:val="16"/>
                <w:szCs w:val="16"/>
              </w:rPr>
              <w:t>m2</w:t>
            </w:r>
          </w:p>
        </w:tc>
        <w:tc>
          <w:tcPr>
            <w:tcW w:w="879" w:type="dxa"/>
          </w:tcPr>
          <w:p w:rsidR="00471442" w:rsidRPr="00BB61E5" w:rsidRDefault="00471442" w:rsidP="00577A03">
            <w:pPr>
              <w:jc w:val="right"/>
              <w:rPr>
                <w:sz w:val="16"/>
                <w:szCs w:val="16"/>
              </w:rPr>
            </w:pPr>
            <w:r w:rsidRPr="00BB61E5">
              <w:rPr>
                <w:sz w:val="16"/>
                <w:szCs w:val="16"/>
              </w:rPr>
              <w:t>10.509,44</w:t>
            </w:r>
          </w:p>
        </w:tc>
        <w:tc>
          <w:tcPr>
            <w:tcW w:w="992" w:type="dxa"/>
          </w:tcPr>
          <w:p w:rsidR="00471442" w:rsidRPr="00BB61E5" w:rsidRDefault="00471442" w:rsidP="00577A03">
            <w:pPr>
              <w:jc w:val="right"/>
              <w:rPr>
                <w:sz w:val="16"/>
                <w:szCs w:val="16"/>
              </w:rPr>
            </w:pPr>
            <w:r w:rsidRPr="00BB61E5">
              <w:rPr>
                <w:sz w:val="16"/>
                <w:szCs w:val="16"/>
              </w:rPr>
              <w:t>6,50</w:t>
            </w:r>
          </w:p>
        </w:tc>
        <w:tc>
          <w:tcPr>
            <w:tcW w:w="993" w:type="dxa"/>
          </w:tcPr>
          <w:p w:rsidR="00471442" w:rsidRPr="00BB61E5" w:rsidRDefault="00471442" w:rsidP="00577A03">
            <w:pPr>
              <w:jc w:val="right"/>
              <w:rPr>
                <w:sz w:val="16"/>
                <w:szCs w:val="16"/>
              </w:rPr>
            </w:pPr>
            <w:r w:rsidRPr="00BB61E5">
              <w:rPr>
                <w:sz w:val="16"/>
                <w:szCs w:val="16"/>
              </w:rPr>
              <w:t>68.311,36</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r w:rsidRPr="00BB61E5">
              <w:rPr>
                <w:sz w:val="16"/>
                <w:szCs w:val="16"/>
              </w:rPr>
              <w:t>3</w:t>
            </w:r>
          </w:p>
        </w:tc>
        <w:tc>
          <w:tcPr>
            <w:tcW w:w="1673" w:type="dxa"/>
          </w:tcPr>
          <w:p w:rsidR="00471442" w:rsidRPr="00BB61E5" w:rsidRDefault="00471442" w:rsidP="00577A03">
            <w:pPr>
              <w:rPr>
                <w:sz w:val="16"/>
                <w:szCs w:val="16"/>
              </w:rPr>
            </w:pPr>
            <w:r w:rsidRPr="00BB61E5">
              <w:rPr>
                <w:sz w:val="16"/>
                <w:szCs w:val="16"/>
              </w:rPr>
              <w:t>Calzada Adoquín Vehicular</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rPr>
                <w:sz w:val="16"/>
                <w:szCs w:val="16"/>
              </w:rPr>
            </w:pPr>
            <w:r w:rsidRPr="00BB61E5">
              <w:rPr>
                <w:sz w:val="16"/>
                <w:szCs w:val="16"/>
              </w:rPr>
              <w:t>41.305,15</w:t>
            </w:r>
          </w:p>
        </w:tc>
        <w:tc>
          <w:tcPr>
            <w:tcW w:w="822" w:type="dxa"/>
          </w:tcPr>
          <w:p w:rsidR="00471442" w:rsidRPr="00BB61E5" w:rsidRDefault="00471442" w:rsidP="00577A03">
            <w:pPr>
              <w:jc w:val="center"/>
              <w:rPr>
                <w:sz w:val="16"/>
                <w:szCs w:val="16"/>
              </w:rPr>
            </w:pPr>
            <w:r w:rsidRPr="00BB61E5">
              <w:rPr>
                <w:sz w:val="16"/>
                <w:szCs w:val="16"/>
              </w:rPr>
              <w:t>m2</w:t>
            </w:r>
          </w:p>
        </w:tc>
        <w:tc>
          <w:tcPr>
            <w:tcW w:w="879" w:type="dxa"/>
          </w:tcPr>
          <w:p w:rsidR="00471442" w:rsidRPr="00BB61E5" w:rsidRDefault="00471442" w:rsidP="00577A03">
            <w:pPr>
              <w:jc w:val="right"/>
              <w:rPr>
                <w:sz w:val="16"/>
                <w:szCs w:val="16"/>
              </w:rPr>
            </w:pPr>
            <w:r w:rsidRPr="00BB61E5">
              <w:rPr>
                <w:sz w:val="16"/>
                <w:szCs w:val="16"/>
              </w:rPr>
              <w:t>41.305,15</w:t>
            </w:r>
          </w:p>
        </w:tc>
        <w:tc>
          <w:tcPr>
            <w:tcW w:w="992" w:type="dxa"/>
          </w:tcPr>
          <w:p w:rsidR="00471442" w:rsidRPr="00BB61E5" w:rsidRDefault="00471442" w:rsidP="00577A03">
            <w:pPr>
              <w:jc w:val="right"/>
              <w:rPr>
                <w:sz w:val="16"/>
                <w:szCs w:val="16"/>
              </w:rPr>
            </w:pPr>
            <w:r w:rsidRPr="00BB61E5">
              <w:rPr>
                <w:sz w:val="16"/>
                <w:szCs w:val="16"/>
              </w:rPr>
              <w:t>15,96</w:t>
            </w:r>
          </w:p>
        </w:tc>
        <w:tc>
          <w:tcPr>
            <w:tcW w:w="993" w:type="dxa"/>
          </w:tcPr>
          <w:p w:rsidR="00471442" w:rsidRPr="00BB61E5" w:rsidRDefault="00471442" w:rsidP="00577A03">
            <w:pPr>
              <w:jc w:val="right"/>
              <w:rPr>
                <w:sz w:val="16"/>
                <w:szCs w:val="16"/>
              </w:rPr>
            </w:pPr>
            <w:r w:rsidRPr="00BB61E5">
              <w:rPr>
                <w:sz w:val="16"/>
                <w:szCs w:val="16"/>
              </w:rPr>
              <w:t>659.230,19</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sz w:val="16"/>
                <w:szCs w:val="16"/>
              </w:rPr>
            </w:pP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b/>
                <w:sz w:val="16"/>
                <w:szCs w:val="16"/>
              </w:rPr>
            </w:pPr>
            <w:r w:rsidRPr="00BB61E5">
              <w:rPr>
                <w:b/>
                <w:sz w:val="16"/>
                <w:szCs w:val="16"/>
              </w:rPr>
              <w:t xml:space="preserve">Redes </w:t>
            </w:r>
            <w:r>
              <w:rPr>
                <w:b/>
                <w:sz w:val="16"/>
                <w:szCs w:val="16"/>
              </w:rPr>
              <w:t>Alcantarillado</w:t>
            </w:r>
            <w:r w:rsidRPr="00BB61E5">
              <w:rPr>
                <w:b/>
                <w:sz w:val="16"/>
                <w:szCs w:val="16"/>
              </w:rPr>
              <w:t xml:space="preserve"> Y Agua Potable  </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r w:rsidRPr="00BB61E5">
              <w:rPr>
                <w:b/>
                <w:sz w:val="16"/>
                <w:szCs w:val="16"/>
              </w:rPr>
              <w:t>489.516,15</w:t>
            </w:r>
          </w:p>
        </w:tc>
      </w:tr>
      <w:tr w:rsidR="00471442" w:rsidRPr="00987F50" w:rsidTr="00DF6190">
        <w:tc>
          <w:tcPr>
            <w:tcW w:w="567" w:type="dxa"/>
          </w:tcPr>
          <w:p w:rsidR="00471442" w:rsidRPr="00BB61E5" w:rsidRDefault="00471442" w:rsidP="00577A03">
            <w:pPr>
              <w:rPr>
                <w:sz w:val="16"/>
                <w:szCs w:val="16"/>
              </w:rPr>
            </w:pPr>
            <w:r w:rsidRPr="00BB61E5">
              <w:rPr>
                <w:sz w:val="16"/>
                <w:szCs w:val="16"/>
              </w:rPr>
              <w:t>4</w:t>
            </w:r>
          </w:p>
        </w:tc>
        <w:tc>
          <w:tcPr>
            <w:tcW w:w="1673" w:type="dxa"/>
          </w:tcPr>
          <w:p w:rsidR="00471442" w:rsidRPr="00BB61E5" w:rsidRDefault="00471442" w:rsidP="00577A03">
            <w:pPr>
              <w:rPr>
                <w:sz w:val="16"/>
                <w:szCs w:val="16"/>
              </w:rPr>
            </w:pPr>
            <w:r w:rsidRPr="00BB61E5">
              <w:rPr>
                <w:sz w:val="16"/>
                <w:szCs w:val="16"/>
              </w:rPr>
              <w:t>Red de agua potable</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1,00</w:t>
            </w:r>
          </w:p>
        </w:tc>
        <w:tc>
          <w:tcPr>
            <w:tcW w:w="822" w:type="dxa"/>
          </w:tcPr>
          <w:p w:rsidR="00471442" w:rsidRPr="00BB61E5" w:rsidRDefault="00471442" w:rsidP="00577A03">
            <w:pPr>
              <w:jc w:val="center"/>
              <w:rPr>
                <w:sz w:val="16"/>
                <w:szCs w:val="16"/>
              </w:rPr>
            </w:pPr>
            <w:proofErr w:type="spellStart"/>
            <w:r w:rsidRPr="00BB61E5">
              <w:rPr>
                <w:sz w:val="16"/>
                <w:szCs w:val="16"/>
              </w:rPr>
              <w:t>glb</w:t>
            </w:r>
            <w:proofErr w:type="spellEnd"/>
          </w:p>
        </w:tc>
        <w:tc>
          <w:tcPr>
            <w:tcW w:w="879" w:type="dxa"/>
          </w:tcPr>
          <w:p w:rsidR="00471442" w:rsidRPr="00BB61E5" w:rsidRDefault="00471442" w:rsidP="00577A03">
            <w:pPr>
              <w:jc w:val="right"/>
              <w:rPr>
                <w:sz w:val="16"/>
                <w:szCs w:val="16"/>
              </w:rPr>
            </w:pPr>
            <w:r w:rsidRPr="00BB61E5">
              <w:rPr>
                <w:sz w:val="16"/>
                <w:szCs w:val="16"/>
              </w:rPr>
              <w:t>1,00</w:t>
            </w:r>
          </w:p>
        </w:tc>
        <w:tc>
          <w:tcPr>
            <w:tcW w:w="992" w:type="dxa"/>
          </w:tcPr>
          <w:p w:rsidR="00471442" w:rsidRPr="00BB61E5" w:rsidRDefault="00471442" w:rsidP="00577A03">
            <w:pPr>
              <w:jc w:val="right"/>
              <w:rPr>
                <w:sz w:val="16"/>
                <w:szCs w:val="16"/>
              </w:rPr>
            </w:pPr>
            <w:r w:rsidRPr="00BB61E5">
              <w:rPr>
                <w:sz w:val="16"/>
                <w:szCs w:val="16"/>
              </w:rPr>
              <w:t>7.088,59</w:t>
            </w:r>
          </w:p>
        </w:tc>
        <w:tc>
          <w:tcPr>
            <w:tcW w:w="993" w:type="dxa"/>
          </w:tcPr>
          <w:p w:rsidR="00471442" w:rsidRPr="00BB61E5" w:rsidRDefault="00471442" w:rsidP="00577A03">
            <w:pPr>
              <w:jc w:val="right"/>
              <w:rPr>
                <w:sz w:val="16"/>
                <w:szCs w:val="16"/>
              </w:rPr>
            </w:pPr>
            <w:r w:rsidRPr="00BB61E5">
              <w:rPr>
                <w:sz w:val="16"/>
                <w:szCs w:val="16"/>
              </w:rPr>
              <w:t>7.088,59</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r w:rsidRPr="00BB61E5">
              <w:rPr>
                <w:sz w:val="16"/>
                <w:szCs w:val="16"/>
              </w:rPr>
              <w:t>5</w:t>
            </w:r>
          </w:p>
        </w:tc>
        <w:tc>
          <w:tcPr>
            <w:tcW w:w="1673" w:type="dxa"/>
          </w:tcPr>
          <w:p w:rsidR="00471442" w:rsidRPr="00BB61E5" w:rsidRDefault="00471442" w:rsidP="00577A03">
            <w:pPr>
              <w:rPr>
                <w:sz w:val="16"/>
                <w:szCs w:val="16"/>
              </w:rPr>
            </w:pPr>
            <w:r w:rsidRPr="00BB61E5">
              <w:rPr>
                <w:sz w:val="16"/>
                <w:szCs w:val="16"/>
              </w:rPr>
              <w:t>Red alcantarillado combinado</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1,00</w:t>
            </w:r>
          </w:p>
        </w:tc>
        <w:tc>
          <w:tcPr>
            <w:tcW w:w="822" w:type="dxa"/>
          </w:tcPr>
          <w:p w:rsidR="00471442" w:rsidRPr="00BB61E5" w:rsidRDefault="00471442" w:rsidP="00577A03">
            <w:pPr>
              <w:jc w:val="center"/>
              <w:rPr>
                <w:sz w:val="16"/>
                <w:szCs w:val="16"/>
              </w:rPr>
            </w:pPr>
            <w:proofErr w:type="spellStart"/>
            <w:r w:rsidRPr="00BB61E5">
              <w:rPr>
                <w:sz w:val="16"/>
                <w:szCs w:val="16"/>
              </w:rPr>
              <w:t>glb</w:t>
            </w:r>
            <w:proofErr w:type="spellEnd"/>
          </w:p>
        </w:tc>
        <w:tc>
          <w:tcPr>
            <w:tcW w:w="879" w:type="dxa"/>
          </w:tcPr>
          <w:p w:rsidR="00471442" w:rsidRPr="00BB61E5" w:rsidRDefault="00471442" w:rsidP="00577A03">
            <w:pPr>
              <w:jc w:val="right"/>
              <w:rPr>
                <w:sz w:val="16"/>
                <w:szCs w:val="16"/>
              </w:rPr>
            </w:pPr>
            <w:r w:rsidRPr="00BB61E5">
              <w:rPr>
                <w:sz w:val="16"/>
                <w:szCs w:val="16"/>
              </w:rPr>
              <w:t>1,00</w:t>
            </w:r>
          </w:p>
        </w:tc>
        <w:tc>
          <w:tcPr>
            <w:tcW w:w="992" w:type="dxa"/>
          </w:tcPr>
          <w:p w:rsidR="00471442" w:rsidRPr="00BB61E5" w:rsidRDefault="00471442" w:rsidP="00577A03">
            <w:pPr>
              <w:jc w:val="right"/>
              <w:rPr>
                <w:sz w:val="16"/>
                <w:szCs w:val="16"/>
              </w:rPr>
            </w:pPr>
            <w:r w:rsidRPr="00BB61E5">
              <w:rPr>
                <w:sz w:val="16"/>
                <w:szCs w:val="16"/>
              </w:rPr>
              <w:t>482.427,56</w:t>
            </w:r>
          </w:p>
        </w:tc>
        <w:tc>
          <w:tcPr>
            <w:tcW w:w="993" w:type="dxa"/>
          </w:tcPr>
          <w:p w:rsidR="00471442" w:rsidRPr="00BB61E5" w:rsidRDefault="00471442" w:rsidP="00577A03">
            <w:pPr>
              <w:jc w:val="right"/>
              <w:rPr>
                <w:sz w:val="16"/>
                <w:szCs w:val="16"/>
              </w:rPr>
            </w:pPr>
            <w:r w:rsidRPr="00BB61E5">
              <w:rPr>
                <w:sz w:val="16"/>
                <w:szCs w:val="16"/>
              </w:rPr>
              <w:t>482.427,56</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sz w:val="16"/>
                <w:szCs w:val="16"/>
              </w:rPr>
            </w:pP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b/>
                <w:sz w:val="16"/>
                <w:szCs w:val="16"/>
              </w:rPr>
            </w:pPr>
            <w:r w:rsidRPr="00BB61E5">
              <w:rPr>
                <w:b/>
                <w:sz w:val="16"/>
                <w:szCs w:val="16"/>
              </w:rPr>
              <w:t>Red Eléctrica</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r w:rsidRPr="00BB61E5">
              <w:rPr>
                <w:b/>
                <w:sz w:val="16"/>
                <w:szCs w:val="16"/>
              </w:rPr>
              <w:t>341.256,27</w:t>
            </w:r>
          </w:p>
        </w:tc>
      </w:tr>
      <w:tr w:rsidR="00471442" w:rsidRPr="00987F50" w:rsidTr="00DF6190">
        <w:tc>
          <w:tcPr>
            <w:tcW w:w="567" w:type="dxa"/>
          </w:tcPr>
          <w:p w:rsidR="00471442" w:rsidRPr="00BB61E5" w:rsidRDefault="00471442" w:rsidP="00577A03">
            <w:pPr>
              <w:rPr>
                <w:sz w:val="16"/>
                <w:szCs w:val="16"/>
              </w:rPr>
            </w:pPr>
            <w:r w:rsidRPr="00BB61E5">
              <w:rPr>
                <w:sz w:val="16"/>
                <w:szCs w:val="16"/>
              </w:rPr>
              <w:t>6</w:t>
            </w:r>
          </w:p>
        </w:tc>
        <w:tc>
          <w:tcPr>
            <w:tcW w:w="1673" w:type="dxa"/>
          </w:tcPr>
          <w:p w:rsidR="00471442" w:rsidRPr="00BB61E5" w:rsidRDefault="00471442" w:rsidP="00577A03">
            <w:pPr>
              <w:rPr>
                <w:sz w:val="16"/>
                <w:szCs w:val="16"/>
              </w:rPr>
            </w:pPr>
            <w:r w:rsidRPr="00BB61E5">
              <w:rPr>
                <w:sz w:val="16"/>
                <w:szCs w:val="16"/>
              </w:rPr>
              <w:t>Redes eléctricas y electrónicas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1,00</w:t>
            </w:r>
          </w:p>
        </w:tc>
        <w:tc>
          <w:tcPr>
            <w:tcW w:w="822" w:type="dxa"/>
          </w:tcPr>
          <w:p w:rsidR="00471442" w:rsidRPr="00BB61E5" w:rsidRDefault="00471442" w:rsidP="00577A03">
            <w:pPr>
              <w:jc w:val="center"/>
              <w:rPr>
                <w:sz w:val="16"/>
                <w:szCs w:val="16"/>
              </w:rPr>
            </w:pPr>
            <w:proofErr w:type="spellStart"/>
            <w:r w:rsidRPr="00BB61E5">
              <w:rPr>
                <w:sz w:val="16"/>
                <w:szCs w:val="16"/>
              </w:rPr>
              <w:t>glb</w:t>
            </w:r>
            <w:proofErr w:type="spellEnd"/>
          </w:p>
        </w:tc>
        <w:tc>
          <w:tcPr>
            <w:tcW w:w="879" w:type="dxa"/>
          </w:tcPr>
          <w:p w:rsidR="00471442" w:rsidRPr="00BB61E5" w:rsidRDefault="00471442" w:rsidP="00577A03">
            <w:pPr>
              <w:jc w:val="right"/>
              <w:rPr>
                <w:sz w:val="16"/>
                <w:szCs w:val="16"/>
              </w:rPr>
            </w:pPr>
            <w:r w:rsidRPr="00BB61E5">
              <w:rPr>
                <w:sz w:val="16"/>
                <w:szCs w:val="16"/>
              </w:rPr>
              <w:t>1,00</w:t>
            </w:r>
          </w:p>
        </w:tc>
        <w:tc>
          <w:tcPr>
            <w:tcW w:w="992" w:type="dxa"/>
          </w:tcPr>
          <w:p w:rsidR="00471442" w:rsidRPr="00BB61E5" w:rsidRDefault="00471442" w:rsidP="00577A03">
            <w:pPr>
              <w:jc w:val="right"/>
              <w:rPr>
                <w:sz w:val="16"/>
                <w:szCs w:val="16"/>
              </w:rPr>
            </w:pPr>
            <w:r w:rsidRPr="00BB61E5">
              <w:rPr>
                <w:sz w:val="16"/>
                <w:szCs w:val="16"/>
              </w:rPr>
              <w:t>341.256,27</w:t>
            </w:r>
          </w:p>
        </w:tc>
        <w:tc>
          <w:tcPr>
            <w:tcW w:w="993" w:type="dxa"/>
          </w:tcPr>
          <w:p w:rsidR="00471442" w:rsidRPr="00BB61E5" w:rsidRDefault="00471442" w:rsidP="00577A03">
            <w:pPr>
              <w:jc w:val="right"/>
              <w:rPr>
                <w:sz w:val="16"/>
                <w:szCs w:val="16"/>
              </w:rPr>
            </w:pPr>
            <w:r w:rsidRPr="00BB61E5">
              <w:rPr>
                <w:sz w:val="16"/>
                <w:szCs w:val="16"/>
              </w:rPr>
              <w:t>341.256,27</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sz w:val="16"/>
                <w:szCs w:val="16"/>
              </w:rPr>
            </w:pP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b/>
                <w:sz w:val="16"/>
                <w:szCs w:val="16"/>
              </w:rPr>
            </w:pPr>
            <w:r w:rsidRPr="00BB61E5">
              <w:rPr>
                <w:b/>
                <w:sz w:val="16"/>
                <w:szCs w:val="16"/>
              </w:rPr>
              <w:t>Redes Telefónicas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r w:rsidRPr="00BB61E5">
              <w:rPr>
                <w:b/>
                <w:sz w:val="16"/>
                <w:szCs w:val="16"/>
              </w:rPr>
              <w:t>179.474,61</w:t>
            </w:r>
          </w:p>
        </w:tc>
      </w:tr>
      <w:tr w:rsidR="00471442" w:rsidRPr="00987F50" w:rsidTr="00DF6190">
        <w:tc>
          <w:tcPr>
            <w:tcW w:w="567" w:type="dxa"/>
          </w:tcPr>
          <w:p w:rsidR="00471442" w:rsidRPr="00BB61E5" w:rsidRDefault="00471442" w:rsidP="00577A03">
            <w:pPr>
              <w:rPr>
                <w:sz w:val="16"/>
                <w:szCs w:val="16"/>
              </w:rPr>
            </w:pPr>
            <w:r w:rsidRPr="00BB61E5">
              <w:rPr>
                <w:sz w:val="16"/>
                <w:szCs w:val="16"/>
              </w:rPr>
              <w:t>7</w:t>
            </w:r>
          </w:p>
        </w:tc>
        <w:tc>
          <w:tcPr>
            <w:tcW w:w="1673" w:type="dxa"/>
          </w:tcPr>
          <w:p w:rsidR="00471442" w:rsidRPr="00BB61E5" w:rsidRDefault="00471442" w:rsidP="00577A03">
            <w:pPr>
              <w:rPr>
                <w:sz w:val="16"/>
                <w:szCs w:val="16"/>
              </w:rPr>
            </w:pPr>
            <w:r w:rsidRPr="00BB61E5">
              <w:rPr>
                <w:sz w:val="16"/>
                <w:szCs w:val="16"/>
              </w:rPr>
              <w:t>Redes Telefónicas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1,00</w:t>
            </w:r>
          </w:p>
        </w:tc>
        <w:tc>
          <w:tcPr>
            <w:tcW w:w="822" w:type="dxa"/>
          </w:tcPr>
          <w:p w:rsidR="00471442" w:rsidRPr="00BB61E5" w:rsidRDefault="00471442" w:rsidP="00577A03">
            <w:pPr>
              <w:jc w:val="center"/>
              <w:rPr>
                <w:sz w:val="16"/>
                <w:szCs w:val="16"/>
              </w:rPr>
            </w:pPr>
            <w:proofErr w:type="spellStart"/>
            <w:r w:rsidRPr="00BB61E5">
              <w:rPr>
                <w:sz w:val="16"/>
                <w:szCs w:val="16"/>
              </w:rPr>
              <w:t>glb</w:t>
            </w:r>
            <w:proofErr w:type="spellEnd"/>
          </w:p>
        </w:tc>
        <w:tc>
          <w:tcPr>
            <w:tcW w:w="879" w:type="dxa"/>
          </w:tcPr>
          <w:p w:rsidR="00471442" w:rsidRPr="00BB61E5" w:rsidRDefault="00471442" w:rsidP="00577A03">
            <w:pPr>
              <w:jc w:val="right"/>
              <w:rPr>
                <w:sz w:val="16"/>
                <w:szCs w:val="16"/>
              </w:rPr>
            </w:pPr>
            <w:r w:rsidRPr="00BB61E5">
              <w:rPr>
                <w:sz w:val="16"/>
                <w:szCs w:val="16"/>
              </w:rPr>
              <w:t>1,00</w:t>
            </w:r>
          </w:p>
        </w:tc>
        <w:tc>
          <w:tcPr>
            <w:tcW w:w="992" w:type="dxa"/>
          </w:tcPr>
          <w:p w:rsidR="00471442" w:rsidRPr="00BB61E5" w:rsidRDefault="00471442" w:rsidP="00577A03">
            <w:pPr>
              <w:jc w:val="right"/>
              <w:rPr>
                <w:sz w:val="16"/>
                <w:szCs w:val="16"/>
              </w:rPr>
            </w:pPr>
            <w:r w:rsidRPr="00BB61E5">
              <w:rPr>
                <w:sz w:val="16"/>
                <w:szCs w:val="16"/>
              </w:rPr>
              <w:t>179.474,61</w:t>
            </w:r>
          </w:p>
        </w:tc>
        <w:tc>
          <w:tcPr>
            <w:tcW w:w="993" w:type="dxa"/>
          </w:tcPr>
          <w:p w:rsidR="00471442" w:rsidRPr="00BB61E5" w:rsidRDefault="00471442" w:rsidP="00577A03">
            <w:pPr>
              <w:jc w:val="right"/>
              <w:rPr>
                <w:sz w:val="16"/>
                <w:szCs w:val="16"/>
              </w:rPr>
            </w:pPr>
            <w:r w:rsidRPr="00BB61E5">
              <w:rPr>
                <w:sz w:val="16"/>
                <w:szCs w:val="16"/>
              </w:rPr>
              <w:t>179.474,61</w:t>
            </w: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sz w:val="16"/>
                <w:szCs w:val="16"/>
              </w:rPr>
            </w:pP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p>
        </w:tc>
      </w:tr>
      <w:tr w:rsidR="00471442" w:rsidRPr="00987F50" w:rsidTr="00DF6190">
        <w:tc>
          <w:tcPr>
            <w:tcW w:w="567" w:type="dxa"/>
          </w:tcPr>
          <w:p w:rsidR="00471442" w:rsidRPr="00BB61E5" w:rsidRDefault="00471442" w:rsidP="00577A03">
            <w:pPr>
              <w:rPr>
                <w:sz w:val="16"/>
                <w:szCs w:val="16"/>
              </w:rPr>
            </w:pPr>
          </w:p>
        </w:tc>
        <w:tc>
          <w:tcPr>
            <w:tcW w:w="1673" w:type="dxa"/>
          </w:tcPr>
          <w:p w:rsidR="00471442" w:rsidRPr="00BB61E5" w:rsidRDefault="00471442" w:rsidP="00577A03">
            <w:pPr>
              <w:rPr>
                <w:b/>
                <w:sz w:val="16"/>
                <w:szCs w:val="16"/>
              </w:rPr>
            </w:pPr>
            <w:r w:rsidRPr="00BB61E5">
              <w:rPr>
                <w:b/>
                <w:sz w:val="16"/>
                <w:szCs w:val="16"/>
              </w:rPr>
              <w:t>Área De Reuniones Y Área Verde</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p>
        </w:tc>
        <w:tc>
          <w:tcPr>
            <w:tcW w:w="822" w:type="dxa"/>
          </w:tcPr>
          <w:p w:rsidR="00471442" w:rsidRPr="00BB61E5" w:rsidRDefault="00471442" w:rsidP="00577A03">
            <w:pPr>
              <w:jc w:val="center"/>
              <w:rPr>
                <w:sz w:val="16"/>
                <w:szCs w:val="16"/>
              </w:rPr>
            </w:pPr>
          </w:p>
        </w:tc>
        <w:tc>
          <w:tcPr>
            <w:tcW w:w="879"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sz w:val="16"/>
                <w:szCs w:val="16"/>
              </w:rPr>
            </w:pPr>
          </w:p>
        </w:tc>
        <w:tc>
          <w:tcPr>
            <w:tcW w:w="993" w:type="dxa"/>
          </w:tcPr>
          <w:p w:rsidR="00471442" w:rsidRPr="00BB61E5" w:rsidRDefault="00471442" w:rsidP="00577A03">
            <w:pPr>
              <w:jc w:val="right"/>
              <w:rPr>
                <w:sz w:val="16"/>
                <w:szCs w:val="16"/>
              </w:rPr>
            </w:pPr>
          </w:p>
        </w:tc>
        <w:tc>
          <w:tcPr>
            <w:tcW w:w="992" w:type="dxa"/>
          </w:tcPr>
          <w:p w:rsidR="00471442" w:rsidRPr="00BB61E5" w:rsidRDefault="00471442" w:rsidP="00577A03">
            <w:pPr>
              <w:jc w:val="right"/>
              <w:rPr>
                <w:b/>
                <w:sz w:val="16"/>
                <w:szCs w:val="16"/>
              </w:rPr>
            </w:pPr>
            <w:r w:rsidRPr="00BB61E5">
              <w:rPr>
                <w:b/>
                <w:sz w:val="16"/>
                <w:szCs w:val="16"/>
              </w:rPr>
              <w:t>189.407,38</w:t>
            </w:r>
          </w:p>
        </w:tc>
      </w:tr>
      <w:tr w:rsidR="00471442" w:rsidRPr="00987F50" w:rsidTr="00DF6190">
        <w:tc>
          <w:tcPr>
            <w:tcW w:w="567" w:type="dxa"/>
          </w:tcPr>
          <w:p w:rsidR="00471442" w:rsidRPr="00BB61E5" w:rsidRDefault="00471442" w:rsidP="00577A03">
            <w:pPr>
              <w:rPr>
                <w:sz w:val="16"/>
                <w:szCs w:val="16"/>
              </w:rPr>
            </w:pPr>
            <w:r w:rsidRPr="00BB61E5">
              <w:rPr>
                <w:sz w:val="16"/>
                <w:szCs w:val="16"/>
              </w:rPr>
              <w:t>8</w:t>
            </w:r>
          </w:p>
        </w:tc>
        <w:tc>
          <w:tcPr>
            <w:tcW w:w="1673" w:type="dxa"/>
          </w:tcPr>
          <w:p w:rsidR="00471442" w:rsidRPr="00BB61E5" w:rsidRDefault="00471442" w:rsidP="00577A03">
            <w:pPr>
              <w:rPr>
                <w:sz w:val="16"/>
                <w:szCs w:val="16"/>
              </w:rPr>
            </w:pPr>
            <w:r w:rsidRPr="00BB61E5">
              <w:rPr>
                <w:sz w:val="16"/>
                <w:szCs w:val="16"/>
              </w:rPr>
              <w:t>Área de reuniones y áreas verdes</w:t>
            </w:r>
          </w:p>
        </w:tc>
        <w:tc>
          <w:tcPr>
            <w:tcW w:w="879" w:type="dxa"/>
          </w:tcPr>
          <w:p w:rsidR="00471442" w:rsidRPr="00BB61E5" w:rsidRDefault="00471442" w:rsidP="00577A03">
            <w:pPr>
              <w:rPr>
                <w:sz w:val="16"/>
                <w:szCs w:val="16"/>
              </w:rPr>
            </w:pPr>
          </w:p>
        </w:tc>
        <w:tc>
          <w:tcPr>
            <w:tcW w:w="567" w:type="dxa"/>
          </w:tcPr>
          <w:p w:rsidR="00471442" w:rsidRPr="00BB61E5" w:rsidRDefault="00471442" w:rsidP="00577A03">
            <w:pPr>
              <w:rPr>
                <w:sz w:val="16"/>
                <w:szCs w:val="16"/>
              </w:rPr>
            </w:pPr>
          </w:p>
        </w:tc>
        <w:tc>
          <w:tcPr>
            <w:tcW w:w="709" w:type="dxa"/>
          </w:tcPr>
          <w:p w:rsidR="00471442" w:rsidRPr="00BB61E5" w:rsidRDefault="00471442" w:rsidP="00577A03">
            <w:pPr>
              <w:rPr>
                <w:sz w:val="16"/>
                <w:szCs w:val="16"/>
              </w:rPr>
            </w:pPr>
          </w:p>
        </w:tc>
        <w:tc>
          <w:tcPr>
            <w:tcW w:w="992" w:type="dxa"/>
          </w:tcPr>
          <w:p w:rsidR="00471442" w:rsidRPr="00BB61E5" w:rsidRDefault="00471442" w:rsidP="00577A03">
            <w:pPr>
              <w:jc w:val="right"/>
              <w:rPr>
                <w:sz w:val="16"/>
                <w:szCs w:val="16"/>
              </w:rPr>
            </w:pPr>
            <w:r w:rsidRPr="00BB61E5">
              <w:rPr>
                <w:sz w:val="16"/>
                <w:szCs w:val="16"/>
              </w:rPr>
              <w:t>1,00</w:t>
            </w:r>
          </w:p>
        </w:tc>
        <w:tc>
          <w:tcPr>
            <w:tcW w:w="822" w:type="dxa"/>
          </w:tcPr>
          <w:p w:rsidR="00471442" w:rsidRPr="00BB61E5" w:rsidRDefault="00471442" w:rsidP="00577A03">
            <w:pPr>
              <w:jc w:val="center"/>
              <w:rPr>
                <w:sz w:val="16"/>
                <w:szCs w:val="16"/>
              </w:rPr>
            </w:pPr>
            <w:proofErr w:type="spellStart"/>
            <w:r w:rsidRPr="00BB61E5">
              <w:rPr>
                <w:sz w:val="16"/>
                <w:szCs w:val="16"/>
              </w:rPr>
              <w:t>glb</w:t>
            </w:r>
            <w:proofErr w:type="spellEnd"/>
          </w:p>
        </w:tc>
        <w:tc>
          <w:tcPr>
            <w:tcW w:w="879" w:type="dxa"/>
          </w:tcPr>
          <w:p w:rsidR="00471442" w:rsidRPr="00BB61E5" w:rsidRDefault="00471442" w:rsidP="00577A03">
            <w:pPr>
              <w:jc w:val="right"/>
              <w:rPr>
                <w:sz w:val="16"/>
                <w:szCs w:val="16"/>
              </w:rPr>
            </w:pPr>
            <w:r w:rsidRPr="00BB61E5">
              <w:rPr>
                <w:sz w:val="16"/>
                <w:szCs w:val="16"/>
              </w:rPr>
              <w:t>1,00</w:t>
            </w:r>
          </w:p>
        </w:tc>
        <w:tc>
          <w:tcPr>
            <w:tcW w:w="992" w:type="dxa"/>
          </w:tcPr>
          <w:p w:rsidR="00471442" w:rsidRPr="00BB61E5" w:rsidRDefault="00471442" w:rsidP="00577A03">
            <w:pPr>
              <w:jc w:val="right"/>
              <w:rPr>
                <w:sz w:val="16"/>
                <w:szCs w:val="16"/>
              </w:rPr>
            </w:pPr>
            <w:r w:rsidRPr="00BB61E5">
              <w:rPr>
                <w:sz w:val="16"/>
                <w:szCs w:val="16"/>
              </w:rPr>
              <w:t>189.407,38</w:t>
            </w:r>
          </w:p>
        </w:tc>
        <w:tc>
          <w:tcPr>
            <w:tcW w:w="993" w:type="dxa"/>
          </w:tcPr>
          <w:p w:rsidR="00471442" w:rsidRPr="00BB61E5" w:rsidRDefault="00471442" w:rsidP="00577A03">
            <w:pPr>
              <w:jc w:val="right"/>
              <w:rPr>
                <w:sz w:val="16"/>
                <w:szCs w:val="16"/>
              </w:rPr>
            </w:pPr>
            <w:r w:rsidRPr="00BB61E5">
              <w:rPr>
                <w:sz w:val="16"/>
                <w:szCs w:val="16"/>
              </w:rPr>
              <w:t>189.407,38</w:t>
            </w:r>
          </w:p>
        </w:tc>
        <w:tc>
          <w:tcPr>
            <w:tcW w:w="992" w:type="dxa"/>
          </w:tcPr>
          <w:p w:rsidR="00471442" w:rsidRPr="00BB61E5" w:rsidRDefault="00471442" w:rsidP="00577A03">
            <w:pPr>
              <w:jc w:val="right"/>
              <w:rPr>
                <w:sz w:val="16"/>
                <w:szCs w:val="16"/>
              </w:rPr>
            </w:pPr>
          </w:p>
        </w:tc>
      </w:tr>
      <w:tr w:rsidR="00471442" w:rsidRPr="00987F50" w:rsidTr="0078529D">
        <w:tc>
          <w:tcPr>
            <w:tcW w:w="10065" w:type="dxa"/>
            <w:gridSpan w:val="11"/>
          </w:tcPr>
          <w:p w:rsidR="00471442" w:rsidRPr="00BB61E5" w:rsidRDefault="00471442" w:rsidP="00577A03">
            <w:pPr>
              <w:tabs>
                <w:tab w:val="left" w:pos="8880"/>
              </w:tabs>
              <w:jc w:val="right"/>
              <w:rPr>
                <w:b/>
                <w:sz w:val="16"/>
                <w:szCs w:val="16"/>
              </w:rPr>
            </w:pPr>
            <w:r w:rsidRPr="00BB61E5">
              <w:rPr>
                <w:b/>
                <w:sz w:val="16"/>
                <w:szCs w:val="16"/>
              </w:rPr>
              <w:t>TOTALES                                                                                                                                                                   2.039.793,76</w:t>
            </w:r>
          </w:p>
        </w:tc>
      </w:tr>
    </w:tbl>
    <w:p w:rsidR="00471442" w:rsidRDefault="00471442" w:rsidP="00577A03">
      <w:pPr>
        <w:pStyle w:val="Sinespaciado"/>
        <w:jc w:val="both"/>
        <w:rPr>
          <w:rFonts w:ascii="Times New Roman" w:hAnsi="Times New Roman" w:cs="Times New Roman"/>
          <w:sz w:val="24"/>
          <w:szCs w:val="24"/>
        </w:rPr>
      </w:pPr>
    </w:p>
    <w:p w:rsidR="00471442" w:rsidRPr="006845C3" w:rsidRDefault="00471442" w:rsidP="00577A03">
      <w:pPr>
        <w:rPr>
          <w:sz w:val="24"/>
          <w:szCs w:val="24"/>
        </w:rPr>
      </w:pPr>
      <w:r w:rsidRPr="006845C3">
        <w:rPr>
          <w:sz w:val="24"/>
          <w:szCs w:val="24"/>
        </w:rPr>
        <w:t>SON: DOS MILLONES TREINTA Y NUEVE MIL SETECIENTOS NOVENTA Y TRES CON 76/100 DOLARES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bCs/>
          <w:sz w:val="24"/>
          <w:szCs w:val="24"/>
        </w:rPr>
        <w:t>CAPÍTULO II</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DE LA UTILIZACIÓN DEL SUELO EN LOS LOTES RESULTANTES DE LA URBANIZACIÓN</w:t>
      </w:r>
    </w:p>
    <w:p w:rsidR="00F30B47" w:rsidRPr="006845C3" w:rsidRDefault="00F30B47" w:rsidP="00577A03">
      <w:pPr>
        <w:pStyle w:val="Sinespaciado"/>
        <w:jc w:val="both"/>
        <w:rPr>
          <w:rFonts w:ascii="Times New Roman" w:hAnsi="Times New Roman" w:cs="Times New Roman"/>
          <w:b/>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Pr="006845C3">
        <w:rPr>
          <w:rFonts w:ascii="Times New Roman" w:hAnsi="Times New Roman" w:cs="Times New Roman"/>
          <w:b/>
          <w:sz w:val="24"/>
          <w:szCs w:val="24"/>
        </w:rPr>
        <w:t xml:space="preserve"> </w:t>
      </w:r>
      <w:r w:rsidR="00F30B47" w:rsidRPr="006845C3">
        <w:rPr>
          <w:rFonts w:ascii="Times New Roman" w:hAnsi="Times New Roman" w:cs="Times New Roman"/>
          <w:b/>
          <w:sz w:val="24"/>
          <w:szCs w:val="24"/>
        </w:rPr>
        <w:t>7.-</w:t>
      </w:r>
      <w:r w:rsidR="00F30B47" w:rsidRPr="006845C3">
        <w:rPr>
          <w:rFonts w:ascii="Times New Roman" w:hAnsi="Times New Roman" w:cs="Times New Roman"/>
          <w:sz w:val="24"/>
          <w:szCs w:val="24"/>
        </w:rPr>
        <w:t xml:space="preserve"> Los lotes de la Urbanización no podrán ser subdivididos. Esta condición constará textualmente en todos los instrumentos públicos por los cuales  se verifique el traspaso de dominio en cualquier tiempo y será obligación de los Notarios y Registrador de la Propiedad verificar su cumplimiento.  </w:t>
      </w:r>
    </w:p>
    <w:p w:rsidR="00F30B47" w:rsidRPr="006845C3" w:rsidRDefault="00F30B47" w:rsidP="00577A03">
      <w:pPr>
        <w:pStyle w:val="Sinespaciado"/>
        <w:jc w:val="both"/>
        <w:rPr>
          <w:rFonts w:ascii="Times New Roman" w:hAnsi="Times New Roman" w:cs="Times New Roman"/>
          <w:sz w:val="24"/>
          <w:szCs w:val="24"/>
        </w:rPr>
      </w:pPr>
    </w:p>
    <w:p w:rsidR="00AC12C4" w:rsidRPr="006845C3" w:rsidRDefault="00AC12C4"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No podrá ser cambiado el permiso de uso del suelo, ni la tipología de la vivienda con los que fue aprobado el Proyecto definitivo.</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CAPÍTULO III</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DEL CONTROL</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8.-</w:t>
      </w:r>
      <w:r w:rsidR="00F30B47" w:rsidRPr="006845C3">
        <w:rPr>
          <w:rFonts w:ascii="Times New Roman" w:hAnsi="Times New Roman" w:cs="Times New Roman"/>
          <w:sz w:val="24"/>
          <w:szCs w:val="24"/>
        </w:rPr>
        <w:t xml:space="preserve">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de Gestión de Obras Públicas Municipales será la encargada de los controles y fiscalización de los trabajos que le corresponda, directamente o por medio de un fiscalizador externo.</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Para garantizar la calidad técnica de las obras, el Urbanizador deberá acreditar legalmente antes del inicio de las obras, un profesional arquitecto o ingeniero civil como Coordinador General del Proyecto, quien será responsable civil y penalmente de la supervisión y ejecución de las mismas conjuntamente con el Fiscalizador a cargo.</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9.-</w:t>
      </w:r>
      <w:r w:rsidR="00F30B47" w:rsidRPr="006845C3">
        <w:rPr>
          <w:rFonts w:ascii="Times New Roman" w:hAnsi="Times New Roman" w:cs="Times New Roman"/>
          <w:sz w:val="24"/>
          <w:szCs w:val="24"/>
        </w:rPr>
        <w:t>Los Urbanizadores se obligan a ejecutar a su costo todas las obras de acuerdo a los estudios, especificaciones técnicas y planos aprobados por el Gobierno Autónomo Descentralizado Municipal de</w:t>
      </w:r>
      <w:r w:rsidR="005E05FD"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Riobamba y las diferentes Empresas proveedoras de servicios.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Las obras a que se obligan los Urbanizadores a ejecutar podrán realizarse en etapas previa a la aprobación de cronograma de ejecución de la obra por parte de la Dirección </w:t>
      </w:r>
      <w:r w:rsidR="00964432">
        <w:rPr>
          <w:rFonts w:ascii="Times New Roman" w:hAnsi="Times New Roman" w:cs="Times New Roman"/>
          <w:sz w:val="24"/>
          <w:szCs w:val="24"/>
        </w:rPr>
        <w:t xml:space="preserve">General </w:t>
      </w:r>
      <w:r w:rsidRPr="006845C3">
        <w:rPr>
          <w:rFonts w:ascii="Times New Roman" w:hAnsi="Times New Roman" w:cs="Times New Roman"/>
          <w:sz w:val="24"/>
          <w:szCs w:val="24"/>
        </w:rPr>
        <w:t>de Gestión  de Obras Públicas; las mismas serán dirigidas técnicamente y bajo la responsabilidad de un profesional especializado en cada rama del proyecto y la supervisión del Coordinador General del Proyecto.</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bCs/>
          <w:sz w:val="24"/>
          <w:szCs w:val="24"/>
        </w:rPr>
        <w:t>CAPÍTULO IV</w:t>
      </w:r>
    </w:p>
    <w:p w:rsidR="00F30B47" w:rsidRPr="006845C3" w:rsidRDefault="00F30B47" w:rsidP="00577A03">
      <w:pPr>
        <w:pStyle w:val="Sinespaciado"/>
        <w:jc w:val="center"/>
        <w:rPr>
          <w:rFonts w:ascii="Times New Roman" w:hAnsi="Times New Roman" w:cs="Times New Roman"/>
          <w:b/>
          <w:bCs/>
          <w:iCs/>
          <w:sz w:val="24"/>
          <w:szCs w:val="24"/>
        </w:rPr>
      </w:pPr>
      <w:r w:rsidRPr="006845C3">
        <w:rPr>
          <w:rFonts w:ascii="Times New Roman" w:hAnsi="Times New Roman" w:cs="Times New Roman"/>
          <w:b/>
          <w:bCs/>
          <w:iCs/>
          <w:sz w:val="24"/>
          <w:szCs w:val="24"/>
        </w:rPr>
        <w:t>PLAZOS Y  ENTREGA A LA MUNICIPALIDAD</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10.-</w:t>
      </w:r>
      <w:r w:rsidR="00F30B47" w:rsidRPr="006845C3">
        <w:rPr>
          <w:rFonts w:ascii="Times New Roman" w:hAnsi="Times New Roman" w:cs="Times New Roman"/>
          <w:sz w:val="24"/>
          <w:szCs w:val="24"/>
        </w:rPr>
        <w:t xml:space="preserve"> Las obras de urbanización autorizadas mediante la presente Ordenanza se iniciarán y entregarán al Gobierno Autónomo Descentralizado Municipal de</w:t>
      </w:r>
      <w:r w:rsidR="005E05FD"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 xml:space="preserve">Riobamba, de acuerdo al cronograma de trabajo presentado y aprobado por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 xml:space="preserve">de Gestión de Obras Públicas, siendo este plazo de </w:t>
      </w:r>
      <w:r w:rsidR="00AC12C4" w:rsidRPr="006845C3">
        <w:rPr>
          <w:rFonts w:ascii="Times New Roman" w:hAnsi="Times New Roman" w:cs="Times New Roman"/>
          <w:sz w:val="24"/>
          <w:szCs w:val="24"/>
        </w:rPr>
        <w:t>24</w:t>
      </w:r>
      <w:r w:rsidR="00F30B47" w:rsidRPr="006845C3">
        <w:rPr>
          <w:rFonts w:ascii="Times New Roman" w:hAnsi="Times New Roman" w:cs="Times New Roman"/>
          <w:sz w:val="24"/>
          <w:szCs w:val="24"/>
        </w:rPr>
        <w:t xml:space="preserve"> meses, contados a partir de la </w:t>
      </w:r>
      <w:r w:rsidR="00AC12C4" w:rsidRPr="006845C3">
        <w:rPr>
          <w:rFonts w:ascii="Times New Roman" w:hAnsi="Times New Roman" w:cs="Times New Roman"/>
          <w:sz w:val="24"/>
          <w:szCs w:val="24"/>
        </w:rPr>
        <w:t>inscripción</w:t>
      </w:r>
      <w:r w:rsidR="00F30B47" w:rsidRPr="006845C3">
        <w:rPr>
          <w:rFonts w:ascii="Times New Roman" w:hAnsi="Times New Roman" w:cs="Times New Roman"/>
          <w:sz w:val="24"/>
          <w:szCs w:val="24"/>
        </w:rPr>
        <w:t xml:space="preserve"> </w:t>
      </w:r>
      <w:r w:rsidR="008828A8" w:rsidRPr="006845C3">
        <w:rPr>
          <w:rFonts w:ascii="Times New Roman" w:hAnsi="Times New Roman" w:cs="Times New Roman"/>
          <w:sz w:val="24"/>
          <w:szCs w:val="24"/>
        </w:rPr>
        <w:t xml:space="preserve"> </w:t>
      </w:r>
      <w:r w:rsidR="00F30B47" w:rsidRPr="006845C3">
        <w:rPr>
          <w:rFonts w:ascii="Times New Roman" w:hAnsi="Times New Roman" w:cs="Times New Roman"/>
          <w:sz w:val="24"/>
          <w:szCs w:val="24"/>
        </w:rPr>
        <w:t>de la presente Ordenanza</w:t>
      </w:r>
      <w:r w:rsidR="008828A8" w:rsidRPr="006845C3">
        <w:rPr>
          <w:rFonts w:ascii="Times New Roman" w:hAnsi="Times New Roman" w:cs="Times New Roman"/>
          <w:sz w:val="24"/>
          <w:szCs w:val="24"/>
        </w:rPr>
        <w:t xml:space="preserve"> en el Registro de la Propiedad</w:t>
      </w:r>
      <w:r w:rsidR="00F30B47" w:rsidRPr="006845C3">
        <w:rPr>
          <w:rFonts w:ascii="Times New Roman" w:hAnsi="Times New Roman" w:cs="Times New Roman"/>
          <w:sz w:val="24"/>
          <w:szCs w:val="24"/>
        </w:rPr>
        <w:t>.</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11.-</w:t>
      </w:r>
      <w:r w:rsidR="00F30B47" w:rsidRPr="006845C3">
        <w:rPr>
          <w:rFonts w:ascii="Times New Roman" w:hAnsi="Times New Roman" w:cs="Times New Roman"/>
          <w:sz w:val="24"/>
          <w:szCs w:val="24"/>
        </w:rPr>
        <w:t xml:space="preserve"> En el caso que los Urbanizadores requieran una ampliación del plazo de entrega de las obras, se deberá contar con los informes favorables de los fiscalizadores de las obras, sean del Gobierno Autónomo Descentralizado Municipal de</w:t>
      </w:r>
      <w:r w:rsidR="005E05FD"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Riobamba o de las empresas públicas supervisoras.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Pr="006845C3">
        <w:rPr>
          <w:rFonts w:ascii="Times New Roman" w:hAnsi="Times New Roman" w:cs="Times New Roman"/>
          <w:b/>
          <w:sz w:val="24"/>
          <w:szCs w:val="24"/>
        </w:rPr>
        <w:t xml:space="preserve"> </w:t>
      </w:r>
      <w:r w:rsidR="00F30B47" w:rsidRPr="006845C3">
        <w:rPr>
          <w:rFonts w:ascii="Times New Roman" w:hAnsi="Times New Roman" w:cs="Times New Roman"/>
          <w:b/>
          <w:sz w:val="24"/>
          <w:szCs w:val="24"/>
        </w:rPr>
        <w:t>12.-</w:t>
      </w:r>
      <w:r w:rsidR="00F30B47" w:rsidRPr="006845C3">
        <w:rPr>
          <w:rFonts w:ascii="Times New Roman" w:hAnsi="Times New Roman" w:cs="Times New Roman"/>
          <w:sz w:val="24"/>
          <w:szCs w:val="24"/>
        </w:rPr>
        <w:t xml:space="preserve"> Las obras de urbanización ejecutadas en las áreas públicas como son: vías, calzadas, aceras, bordillos, áreas verdes, recreacionales y/o comunales; pasarán a ser de propiedad municipal a partir de la fecha de suscripción de las  actas de entrega-recepción definitiva.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Pr="006845C3">
        <w:rPr>
          <w:rFonts w:ascii="Times New Roman" w:hAnsi="Times New Roman" w:cs="Times New Roman"/>
          <w:b/>
          <w:sz w:val="24"/>
          <w:szCs w:val="24"/>
        </w:rPr>
        <w:t xml:space="preserve"> </w:t>
      </w:r>
      <w:r w:rsidR="00F30B47" w:rsidRPr="006845C3">
        <w:rPr>
          <w:rFonts w:ascii="Times New Roman" w:hAnsi="Times New Roman" w:cs="Times New Roman"/>
          <w:b/>
          <w:sz w:val="24"/>
          <w:szCs w:val="24"/>
        </w:rPr>
        <w:t>13.-</w:t>
      </w:r>
      <w:r w:rsidR="00F30B47" w:rsidRPr="006845C3">
        <w:rPr>
          <w:rFonts w:ascii="Times New Roman" w:hAnsi="Times New Roman" w:cs="Times New Roman"/>
          <w:sz w:val="24"/>
          <w:szCs w:val="24"/>
        </w:rPr>
        <w:t xml:space="preserve"> Las obras de urbanización correspondientes a las redes de agua potable y alcantarillado, y cualquier otra obra anexa, vinculada a estas pasarán a ser de propiedad de la EP-EMAPAR.</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14.-</w:t>
      </w:r>
      <w:r w:rsidR="00F30B47" w:rsidRPr="006845C3">
        <w:rPr>
          <w:rFonts w:ascii="Times New Roman" w:hAnsi="Times New Roman" w:cs="Times New Roman"/>
          <w:sz w:val="24"/>
          <w:szCs w:val="24"/>
        </w:rPr>
        <w:t xml:space="preserve"> Una vez recibidas las obras de electrificación por parte de la Empresa Eléctrica Riobamba S.A. y determinado su valor, éstas pasarán a constituir aporte del Gobierno Autónomo Descentralizado Municipal de</w:t>
      </w:r>
      <w:r w:rsidR="005E05FD" w:rsidRPr="006845C3">
        <w:rPr>
          <w:rFonts w:ascii="Times New Roman" w:hAnsi="Times New Roman" w:cs="Times New Roman"/>
          <w:sz w:val="24"/>
          <w:szCs w:val="24"/>
        </w:rPr>
        <w:t xml:space="preserve">l </w:t>
      </w:r>
      <w:r w:rsidRPr="006845C3">
        <w:rPr>
          <w:rFonts w:ascii="Times New Roman" w:hAnsi="Times New Roman" w:cs="Times New Roman"/>
          <w:sz w:val="24"/>
          <w:szCs w:val="24"/>
        </w:rPr>
        <w:t>cantón</w:t>
      </w:r>
      <w:r w:rsidR="005E05FD" w:rsidRPr="006845C3">
        <w:rPr>
          <w:rFonts w:ascii="Times New Roman" w:hAnsi="Times New Roman" w:cs="Times New Roman"/>
          <w:sz w:val="24"/>
          <w:szCs w:val="24"/>
        </w:rPr>
        <w:t xml:space="preserve"> </w:t>
      </w:r>
      <w:r w:rsidR="00F30B47" w:rsidRPr="006845C3">
        <w:rPr>
          <w:rFonts w:ascii="Times New Roman" w:hAnsi="Times New Roman" w:cs="Times New Roman"/>
          <w:sz w:val="24"/>
          <w:szCs w:val="24"/>
        </w:rPr>
        <w:t>Riobamba a la Empresa Eléctrica Riobamba S. A. (E.E.R.S.A.), para futura capitalización.</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Las redes telefónicas serán de propiedad de la Corporación Nacional de Telecomunicaciones (CNT).</w:t>
      </w:r>
    </w:p>
    <w:p w:rsidR="006845C3" w:rsidRDefault="006845C3" w:rsidP="00577A03">
      <w:pPr>
        <w:pStyle w:val="Sinespaciado"/>
        <w:jc w:val="both"/>
        <w:rPr>
          <w:rFonts w:ascii="Times New Roman" w:hAnsi="Times New Roman" w:cs="Times New Roman"/>
          <w:bCs/>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bCs/>
          <w:sz w:val="24"/>
          <w:szCs w:val="24"/>
        </w:rPr>
        <w:t xml:space="preserve"> 15.-</w:t>
      </w:r>
      <w:r w:rsidR="00F30B47" w:rsidRPr="006845C3">
        <w:rPr>
          <w:rFonts w:ascii="Times New Roman" w:hAnsi="Times New Roman" w:cs="Times New Roman"/>
          <w:sz w:val="24"/>
          <w:szCs w:val="24"/>
        </w:rPr>
        <w:t xml:space="preserve"> La entrega de las obras de urbanización al Gobierno Autónomo Descentralizado Municipal de</w:t>
      </w:r>
      <w:r w:rsidR="005E05FD"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 xml:space="preserve">Riobamba  se realizará de la siguiente manera: </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 xml:space="preserve">a) ENTREGA - RECEPCIÓN PROVISIONAL.- Para la entrega recepción provisional de todas las obras comprometidas en esta Ordenanza, la Dirección </w:t>
      </w:r>
      <w:r w:rsidR="00964432">
        <w:rPr>
          <w:rFonts w:ascii="Times New Roman" w:hAnsi="Times New Roman" w:cs="Times New Roman"/>
          <w:sz w:val="24"/>
          <w:szCs w:val="24"/>
        </w:rPr>
        <w:t xml:space="preserve">General </w:t>
      </w:r>
      <w:r w:rsidRPr="006845C3">
        <w:rPr>
          <w:rFonts w:ascii="Times New Roman" w:hAnsi="Times New Roman" w:cs="Times New Roman"/>
          <w:sz w:val="24"/>
          <w:szCs w:val="24"/>
        </w:rPr>
        <w:t>de Gestión de Obras Públicas Municipales además de las obras que están bajo su responsabilidad, requerirá al Urbanizador las actas de entrega recepción provisionales de la Empresa Pública</w:t>
      </w:r>
      <w:r w:rsidR="00964432">
        <w:rPr>
          <w:rFonts w:ascii="Times New Roman" w:hAnsi="Times New Roman" w:cs="Times New Roman"/>
          <w:sz w:val="24"/>
          <w:szCs w:val="24"/>
        </w:rPr>
        <w:t>-</w:t>
      </w:r>
      <w:r w:rsidRPr="006845C3">
        <w:rPr>
          <w:rFonts w:ascii="Times New Roman" w:hAnsi="Times New Roman" w:cs="Times New Roman"/>
          <w:sz w:val="24"/>
          <w:szCs w:val="24"/>
        </w:rPr>
        <w:t>Empresa Municipal de Agua Potable</w:t>
      </w:r>
      <w:r w:rsidR="005E05FD" w:rsidRPr="006845C3">
        <w:rPr>
          <w:rFonts w:ascii="Times New Roman" w:hAnsi="Times New Roman" w:cs="Times New Roman"/>
          <w:sz w:val="24"/>
          <w:szCs w:val="24"/>
        </w:rPr>
        <w:t xml:space="preserve"> y Alcantarillado de Riobamba, </w:t>
      </w:r>
      <w:r w:rsidRPr="006845C3">
        <w:rPr>
          <w:rFonts w:ascii="Times New Roman" w:hAnsi="Times New Roman" w:cs="Times New Roman"/>
          <w:sz w:val="24"/>
          <w:szCs w:val="24"/>
        </w:rPr>
        <w:t>Empresa Eléctrica Riobamba S.A. y la Corporación Nacional de Telecomunicaciones.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lastRenderedPageBreak/>
        <w:t xml:space="preserve">b) ENTREGA - RECEPCION DEFINITIVA.- El Urbanizador con las actas de recepción provisional y una vez transcurridos </w:t>
      </w:r>
      <w:r w:rsidR="005E05FD" w:rsidRPr="006845C3">
        <w:rPr>
          <w:rFonts w:ascii="Times New Roman" w:hAnsi="Times New Roman" w:cs="Times New Roman"/>
          <w:sz w:val="24"/>
          <w:szCs w:val="24"/>
          <w:u w:val="single"/>
        </w:rPr>
        <w:t xml:space="preserve">180 </w:t>
      </w:r>
      <w:r w:rsidRPr="006845C3">
        <w:rPr>
          <w:rFonts w:ascii="Times New Roman" w:hAnsi="Times New Roman" w:cs="Times New Roman"/>
          <w:sz w:val="24"/>
          <w:szCs w:val="24"/>
          <w:u w:val="single"/>
        </w:rPr>
        <w:t>días</w:t>
      </w:r>
      <w:r w:rsidRPr="006845C3">
        <w:rPr>
          <w:rFonts w:ascii="Times New Roman" w:hAnsi="Times New Roman" w:cs="Times New Roman"/>
          <w:sz w:val="24"/>
          <w:szCs w:val="24"/>
        </w:rPr>
        <w:t>, solicitará al Gobierno Autónomo Descentralizado Municipal de</w:t>
      </w:r>
      <w:r w:rsidR="005E05FD" w:rsidRPr="006845C3">
        <w:rPr>
          <w:rFonts w:ascii="Times New Roman" w:hAnsi="Times New Roman" w:cs="Times New Roman"/>
          <w:sz w:val="24"/>
          <w:szCs w:val="24"/>
        </w:rPr>
        <w:t>l cantón</w:t>
      </w:r>
      <w:r w:rsidRPr="006845C3">
        <w:rPr>
          <w:rFonts w:ascii="Times New Roman" w:hAnsi="Times New Roman" w:cs="Times New Roman"/>
          <w:sz w:val="24"/>
          <w:szCs w:val="24"/>
        </w:rPr>
        <w:t xml:space="preserve"> Riobamba por medio de la Dirección  de Gestión de Obras Públicas la recepción definitiva de las obras de urbanización, adjuntando las actas de entregas recepciones definitivas emitidas por cada empresa pública (Empresa Pública Empresa Municipal de Agua Potable y Alcantarillado de Riobamba, Empresa Eléctrica Riobamba S.A., Corporación Nacional de Telecomunicaciones) responsables de la supervisión y fiscalización de las mismas.</w:t>
      </w: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bCs/>
          <w:sz w:val="24"/>
          <w:szCs w:val="24"/>
        </w:rPr>
        <w:t>CAPÍTULO V</w:t>
      </w: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bCs/>
          <w:sz w:val="24"/>
          <w:szCs w:val="24"/>
        </w:rPr>
        <w:t>DE LAS GARANTÍAS</w:t>
      </w:r>
    </w:p>
    <w:p w:rsidR="00F30B47" w:rsidRPr="006845C3" w:rsidRDefault="00F30B47" w:rsidP="00577A03">
      <w:pPr>
        <w:pStyle w:val="Sinespaciado"/>
        <w:jc w:val="both"/>
        <w:rPr>
          <w:rFonts w:ascii="Times New Roman" w:hAnsi="Times New Roman" w:cs="Times New Roman"/>
          <w:b/>
          <w:sz w:val="24"/>
          <w:szCs w:val="24"/>
          <w:lang w:eastAsia="es-ES"/>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16.-</w:t>
      </w:r>
      <w:r w:rsidR="00F30B47" w:rsidRPr="006845C3">
        <w:rPr>
          <w:rFonts w:ascii="Times New Roman" w:hAnsi="Times New Roman" w:cs="Times New Roman"/>
          <w:sz w:val="24"/>
          <w:szCs w:val="24"/>
        </w:rPr>
        <w:t xml:space="preserve"> El urbanizador para garantizar la ejecución de la totalidad de las obras de urbanización contempladas en esta Ordenanza entregará en el plazo de sesenta (60) días a partir de la </w:t>
      </w:r>
      <w:r w:rsidR="008828A8" w:rsidRPr="006845C3">
        <w:rPr>
          <w:rFonts w:ascii="Times New Roman" w:hAnsi="Times New Roman" w:cs="Times New Roman"/>
          <w:sz w:val="24"/>
          <w:szCs w:val="24"/>
        </w:rPr>
        <w:t>inscripción</w:t>
      </w:r>
      <w:r w:rsidR="00F30B47" w:rsidRPr="006845C3">
        <w:rPr>
          <w:rFonts w:ascii="Times New Roman" w:hAnsi="Times New Roman" w:cs="Times New Roman"/>
          <w:sz w:val="24"/>
          <w:szCs w:val="24"/>
        </w:rPr>
        <w:t xml:space="preserve"> de la presente Ordenanza </w:t>
      </w:r>
      <w:r w:rsidR="008828A8" w:rsidRPr="006845C3">
        <w:rPr>
          <w:rFonts w:ascii="Times New Roman" w:hAnsi="Times New Roman" w:cs="Times New Roman"/>
          <w:sz w:val="24"/>
          <w:szCs w:val="24"/>
        </w:rPr>
        <w:t xml:space="preserve">en el Registro de la propiedad, </w:t>
      </w:r>
      <w:r w:rsidR="00F30B47" w:rsidRPr="006845C3">
        <w:rPr>
          <w:rFonts w:ascii="Times New Roman" w:hAnsi="Times New Roman" w:cs="Times New Roman"/>
          <w:sz w:val="24"/>
          <w:szCs w:val="24"/>
        </w:rPr>
        <w:t xml:space="preserve">al Gobierno Autónomo Descentralizado Municipal de Riobamba una garantía que cubrirá el 100% del valor de las obras a ejecutar de acuerdo al presupuesto referencial aprobado y actualizado a </w:t>
      </w:r>
      <w:r w:rsidR="007C5E2B" w:rsidRPr="006845C3">
        <w:rPr>
          <w:rFonts w:ascii="Times New Roman" w:hAnsi="Times New Roman" w:cs="Times New Roman"/>
          <w:sz w:val="24"/>
          <w:szCs w:val="24"/>
        </w:rPr>
        <w:t>la fecha de inicio de las obras</w:t>
      </w:r>
      <w:r w:rsidR="00F30B47" w:rsidRPr="006845C3">
        <w:rPr>
          <w:rFonts w:ascii="Times New Roman" w:hAnsi="Times New Roman" w:cs="Times New Roman"/>
          <w:sz w:val="24"/>
          <w:szCs w:val="24"/>
        </w:rPr>
        <w:t xml:space="preserve">. Esta garantía consistirá en: Primera hipoteca </w:t>
      </w:r>
      <w:r w:rsidR="007C5E2B" w:rsidRPr="006845C3">
        <w:rPr>
          <w:rFonts w:ascii="Times New Roman" w:hAnsi="Times New Roman" w:cs="Times New Roman"/>
          <w:sz w:val="24"/>
          <w:szCs w:val="24"/>
        </w:rPr>
        <w:t>de los lotes 1 al 22 de la manzana A, 23 al 44 de la manzana B, lotes del 45 al 52 de la manzana C, lotes del 53 al 67 de la manzana D, lotes del 68 al 76 de la manzana E y los lotes del 77 al 86  de la manzana F, en total 86 lotes</w:t>
      </w:r>
      <w:r w:rsidR="008828A8" w:rsidRPr="006845C3">
        <w:rPr>
          <w:rFonts w:ascii="Times New Roman" w:hAnsi="Times New Roman" w:cs="Times New Roman"/>
          <w:sz w:val="24"/>
          <w:szCs w:val="24"/>
        </w:rPr>
        <w:t>, a través de escritura pública de hipoteca, cuya minuta será elaborada por Procuraduría Institucional del GADM Riobamba.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964432"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17.-</w:t>
      </w:r>
      <w:r w:rsidR="00F30B47" w:rsidRPr="006845C3">
        <w:rPr>
          <w:rFonts w:ascii="Times New Roman" w:hAnsi="Times New Roman" w:cs="Times New Roman"/>
          <w:sz w:val="24"/>
          <w:szCs w:val="24"/>
        </w:rPr>
        <w:t xml:space="preserve"> Una vez realizada la entrega recepción provisional y por el tiempo que media hasta la entrega recepción definitiva el Urbanizador deberá entregar una garantía por un valor equivalente al 5% (CINCO POR CIENTO) del valor de las obras que correspondan a las obras civiles, esta servirá para garantizar la buena calidad de las mismas y de los materiales. Esta garantía consistirá en: Primera hipoteca de bienes raíces; garantía bancaria incondicional, irrevocable y de cobr</w:t>
      </w:r>
      <w:r w:rsidR="005E05FD" w:rsidRPr="006845C3">
        <w:rPr>
          <w:rFonts w:ascii="Times New Roman" w:hAnsi="Times New Roman" w:cs="Times New Roman"/>
          <w:sz w:val="24"/>
          <w:szCs w:val="24"/>
        </w:rPr>
        <w:t xml:space="preserve">o inmediato; póliza de seguro, </w:t>
      </w:r>
      <w:r w:rsidR="00F30B47" w:rsidRPr="006845C3">
        <w:rPr>
          <w:rFonts w:ascii="Times New Roman" w:hAnsi="Times New Roman" w:cs="Times New Roman"/>
          <w:sz w:val="24"/>
          <w:szCs w:val="24"/>
        </w:rPr>
        <w:t>incondicional, irr</w:t>
      </w:r>
      <w:r w:rsidR="005E05FD" w:rsidRPr="006845C3">
        <w:rPr>
          <w:rFonts w:ascii="Times New Roman" w:hAnsi="Times New Roman" w:cs="Times New Roman"/>
          <w:sz w:val="24"/>
          <w:szCs w:val="24"/>
        </w:rPr>
        <w:t xml:space="preserve">evocable y de cobro inmediato; </w:t>
      </w:r>
      <w:r w:rsidR="00F30B47" w:rsidRPr="006845C3">
        <w:rPr>
          <w:rFonts w:ascii="Times New Roman" w:hAnsi="Times New Roman" w:cs="Times New Roman"/>
          <w:sz w:val="24"/>
          <w:szCs w:val="24"/>
        </w:rPr>
        <w:t>depósito en moneda nacional, en efectivo o en cheque certificado; o, papeles fiduciarios, prendas de carácter industrial.</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CAPÍTULO VI</w:t>
      </w: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sz w:val="24"/>
          <w:szCs w:val="24"/>
        </w:rPr>
        <w:t xml:space="preserve">DE LAS </w:t>
      </w:r>
      <w:r w:rsidRPr="006845C3">
        <w:rPr>
          <w:rFonts w:ascii="Times New Roman" w:hAnsi="Times New Roman" w:cs="Times New Roman"/>
          <w:b/>
          <w:bCs/>
          <w:sz w:val="24"/>
          <w:szCs w:val="24"/>
        </w:rPr>
        <w:t xml:space="preserve"> MULTAS</w:t>
      </w:r>
    </w:p>
    <w:p w:rsidR="00F30B47" w:rsidRPr="006845C3" w:rsidRDefault="00F30B47" w:rsidP="00577A03">
      <w:pPr>
        <w:pStyle w:val="Sinespaciado"/>
        <w:jc w:val="both"/>
        <w:rPr>
          <w:rFonts w:ascii="Times New Roman" w:hAnsi="Times New Roman" w:cs="Times New Roman"/>
          <w:bCs/>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18.-</w:t>
      </w:r>
      <w:r w:rsidR="00F30B47" w:rsidRPr="006845C3">
        <w:rPr>
          <w:rFonts w:ascii="Times New Roman" w:hAnsi="Times New Roman" w:cs="Times New Roman"/>
          <w:sz w:val="24"/>
          <w:szCs w:val="24"/>
        </w:rPr>
        <w:t>El incumplimiento de los cronogramas para la ejecución de las obras de infraestructura básica, será causa suficiente para que la Municipalidad fije una multa diaria equivalente al 1/1000 del valor de la obra no ejecutada por el urbanizador hasta un máximo del 10% del monto total de la obra. Una vez alcanzado este valor se procederá de acuerdo a lo determinado en el presente capítulo.</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Si las obras de urbanización no se ejecutaren, y/o terminaren con la suscripción de las  Actas de Entrega  Recepción  Provisional con el Gobierno Autónomo Descentralizado Municipal de</w:t>
      </w:r>
      <w:r w:rsidR="00C21C98" w:rsidRPr="006845C3">
        <w:rPr>
          <w:rFonts w:ascii="Times New Roman" w:hAnsi="Times New Roman" w:cs="Times New Roman"/>
          <w:sz w:val="24"/>
          <w:szCs w:val="24"/>
        </w:rPr>
        <w:t xml:space="preserve">l cantón </w:t>
      </w:r>
      <w:r w:rsidRPr="006845C3">
        <w:rPr>
          <w:rFonts w:ascii="Times New Roman" w:hAnsi="Times New Roman" w:cs="Times New Roman"/>
          <w:sz w:val="24"/>
          <w:szCs w:val="24"/>
        </w:rPr>
        <w:t>Riobamba, después de concluido el plazo estipulado en esta Ordenanza con sus respectivas ampliaciones debidamente autorizadas; el Gobierno Autónomo Descentralizado Municipal de</w:t>
      </w:r>
      <w:r w:rsidR="00C21C98" w:rsidRPr="006845C3">
        <w:rPr>
          <w:rFonts w:ascii="Times New Roman" w:hAnsi="Times New Roman" w:cs="Times New Roman"/>
          <w:sz w:val="24"/>
          <w:szCs w:val="24"/>
        </w:rPr>
        <w:t>l cantón</w:t>
      </w:r>
      <w:r w:rsidRPr="006845C3">
        <w:rPr>
          <w:rFonts w:ascii="Times New Roman" w:hAnsi="Times New Roman" w:cs="Times New Roman"/>
          <w:sz w:val="24"/>
          <w:szCs w:val="24"/>
        </w:rPr>
        <w:t xml:space="preserve"> Riobamba podrá realizar estas obras a cuenta del urbanizador para lo cual hará efectivas las garantías correspondientes por el valor de las obras no ejecutadas, y un recargo del 20% por los valores que correspondan, que será recuperado por vía coactiva de conformidad con lo dispuesto en el artículo 378 del COOTAD. </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lastRenderedPageBreak/>
        <w:t>CAPITULO VII</w:t>
      </w:r>
    </w:p>
    <w:p w:rsidR="00F30B47" w:rsidRPr="006845C3" w:rsidRDefault="00F30B47" w:rsidP="00577A03">
      <w:pPr>
        <w:pStyle w:val="Sinespaciado"/>
        <w:jc w:val="center"/>
        <w:rPr>
          <w:rFonts w:ascii="Times New Roman" w:hAnsi="Times New Roman" w:cs="Times New Roman"/>
          <w:b/>
          <w:bCs/>
          <w:sz w:val="24"/>
          <w:szCs w:val="24"/>
        </w:rPr>
      </w:pPr>
      <w:r w:rsidRPr="006845C3">
        <w:rPr>
          <w:rFonts w:ascii="Times New Roman" w:hAnsi="Times New Roman" w:cs="Times New Roman"/>
          <w:b/>
          <w:sz w:val="24"/>
          <w:szCs w:val="24"/>
        </w:rPr>
        <w:t>DE LAS SANCIONES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19.-</w:t>
      </w:r>
      <w:r w:rsidR="00F30B47" w:rsidRPr="006845C3">
        <w:rPr>
          <w:rFonts w:ascii="Times New Roman" w:hAnsi="Times New Roman" w:cs="Times New Roman"/>
          <w:sz w:val="24"/>
          <w:szCs w:val="24"/>
        </w:rPr>
        <w:t xml:space="preserve"> Queda prohibido toda clase de fraccionamiento de los lotes resultantes de esta Urbanización. La subdivisión que se realice de hecho, de cualquiera de los lotes pertenecientes a esta Urbanización no será reconocida por el Gobierno Autónomo Descentralizado Municipal de</w:t>
      </w:r>
      <w:r w:rsidR="00C21C98"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Riobamba.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20.-</w:t>
      </w:r>
      <w:r w:rsidR="00F30B47" w:rsidRPr="006845C3">
        <w:rPr>
          <w:rFonts w:ascii="Times New Roman" w:hAnsi="Times New Roman" w:cs="Times New Roman"/>
          <w:sz w:val="24"/>
          <w:szCs w:val="24"/>
        </w:rPr>
        <w:t xml:space="preserve"> La alteración o suplantación de los planos, perfiles, memoria técnica o cualquier otro documento que sirva para aprobar el proyecto definitivo de la Urbanización será sancionada con la inmediata revocatoria de esta Ordenanza.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sz w:val="24"/>
          <w:szCs w:val="24"/>
        </w:rPr>
        <w:t>Los responsables de la infracción serán sancionados por las leyes correspondientes, para lo cual se iniciarán las acciones legales pertinentes.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21.-</w:t>
      </w:r>
      <w:r w:rsidR="00F30B47" w:rsidRPr="006845C3">
        <w:rPr>
          <w:rFonts w:ascii="Times New Roman" w:hAnsi="Times New Roman" w:cs="Times New Roman"/>
          <w:sz w:val="24"/>
          <w:szCs w:val="24"/>
        </w:rPr>
        <w:t xml:space="preserve"> Si el Urbanizador inicia o realiza trabajos sin sujetarse a las normas, especificaciones y regulaciones de esta Ordenanza, el Gobierno Autónomo Descentralizado Municipal de</w:t>
      </w:r>
      <w:r w:rsidR="00C21C98" w:rsidRPr="006845C3">
        <w:rPr>
          <w:rFonts w:ascii="Times New Roman" w:hAnsi="Times New Roman" w:cs="Times New Roman"/>
          <w:sz w:val="24"/>
          <w:szCs w:val="24"/>
        </w:rPr>
        <w:t xml:space="preserve">l cantón </w:t>
      </w:r>
      <w:r w:rsidR="00F30B47" w:rsidRPr="006845C3">
        <w:rPr>
          <w:rFonts w:ascii="Times New Roman" w:hAnsi="Times New Roman" w:cs="Times New Roman"/>
          <w:sz w:val="24"/>
          <w:szCs w:val="24"/>
        </w:rPr>
        <w:t xml:space="preserve">Riobamba ordenará la suspensión de las obras y los trabajos continuarán en la forma que autorice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de Gestión de Obras Públicas Municipal y las empresas públicas correspondientes.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Pr="006845C3">
        <w:rPr>
          <w:rFonts w:ascii="Times New Roman" w:hAnsi="Times New Roman" w:cs="Times New Roman"/>
          <w:b/>
          <w:sz w:val="24"/>
          <w:szCs w:val="24"/>
        </w:rPr>
        <w:t xml:space="preserve"> </w:t>
      </w:r>
      <w:r w:rsidR="00F30B47" w:rsidRPr="006845C3">
        <w:rPr>
          <w:rFonts w:ascii="Times New Roman" w:hAnsi="Times New Roman" w:cs="Times New Roman"/>
          <w:b/>
          <w:sz w:val="24"/>
          <w:szCs w:val="24"/>
        </w:rPr>
        <w:t>22.-</w:t>
      </w:r>
      <w:r w:rsidR="00F30B47" w:rsidRPr="006845C3">
        <w:rPr>
          <w:rFonts w:ascii="Times New Roman" w:hAnsi="Times New Roman" w:cs="Times New Roman"/>
          <w:sz w:val="24"/>
          <w:szCs w:val="24"/>
        </w:rPr>
        <w:t xml:space="preserve"> Las Direcciones de Gestión de Obras Públic</w:t>
      </w:r>
      <w:r w:rsidR="00C21C98" w:rsidRPr="006845C3">
        <w:rPr>
          <w:rFonts w:ascii="Times New Roman" w:hAnsi="Times New Roman" w:cs="Times New Roman"/>
          <w:sz w:val="24"/>
          <w:szCs w:val="24"/>
        </w:rPr>
        <w:t xml:space="preserve">as, Ordenamiento Territorial y </w:t>
      </w:r>
      <w:r w:rsidR="00F30B47" w:rsidRPr="006845C3">
        <w:rPr>
          <w:rFonts w:ascii="Times New Roman" w:hAnsi="Times New Roman" w:cs="Times New Roman"/>
          <w:sz w:val="24"/>
          <w:szCs w:val="24"/>
        </w:rPr>
        <w:t>la Empresa Pública-Empresa Municipal de Agua Potable y Alcantarillado de Riobamba (EP-EMAPAR), podrán modificar las especificaciones técnicas de las obras a realizarse previo informe favorable de los fiscalizadores respectivos y de la Comisión a cuya área corresponda el tema y en ningún caso en detrimento de la calidad de la misma.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CAPÍTULO VIII</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DE LA ESCRITURACIÓN</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Pr="006845C3">
        <w:rPr>
          <w:rFonts w:ascii="Times New Roman" w:hAnsi="Times New Roman" w:cs="Times New Roman"/>
          <w:b/>
          <w:sz w:val="24"/>
          <w:szCs w:val="24"/>
        </w:rPr>
        <w:t xml:space="preserve"> </w:t>
      </w:r>
      <w:r w:rsidR="00F30B47" w:rsidRPr="006845C3">
        <w:rPr>
          <w:rFonts w:ascii="Times New Roman" w:hAnsi="Times New Roman" w:cs="Times New Roman"/>
          <w:b/>
          <w:sz w:val="24"/>
          <w:szCs w:val="24"/>
        </w:rPr>
        <w:t>23.-</w:t>
      </w:r>
      <w:r w:rsidR="00F30B47" w:rsidRPr="006845C3">
        <w:rPr>
          <w:rFonts w:ascii="Times New Roman" w:hAnsi="Times New Roman" w:cs="Times New Roman"/>
          <w:sz w:val="24"/>
          <w:szCs w:val="24"/>
        </w:rPr>
        <w:t xml:space="preserve"> Para que el Urbanizador pueda celebrar escrituras individuales requerirá expresa autori</w:t>
      </w:r>
      <w:r w:rsidR="00C21C98" w:rsidRPr="006845C3">
        <w:rPr>
          <w:rFonts w:ascii="Times New Roman" w:hAnsi="Times New Roman" w:cs="Times New Roman"/>
          <w:sz w:val="24"/>
          <w:szCs w:val="24"/>
        </w:rPr>
        <w:t xml:space="preserve">zación del Concejo Municipal, </w:t>
      </w:r>
      <w:r w:rsidR="00F30B47" w:rsidRPr="006845C3">
        <w:rPr>
          <w:rFonts w:ascii="Times New Roman" w:hAnsi="Times New Roman" w:cs="Times New Roman"/>
          <w:sz w:val="24"/>
          <w:szCs w:val="24"/>
        </w:rPr>
        <w:t xml:space="preserve">previos los informes favorables de la Dirección de Gestión de Obras Públicas y Procuraduría Institucional, adjuntando las actas de entrega recepción provisional de las obras incluidas las respectivas de Empresa Pública-Empresa Municipal de Agua Potable, Alcantarillado de Riobamba, Empresa Eléctrica Riobamba S.A., Corporación Nacional de Telecomunicaciones, a las que se obligan en esta Ordenanza. Las actas no deberán tener observaciones. Quedando vigente la garantía contemplada en el  artículo 16 de esta Ordenanza hasta que los lotes de la Urbanización se acometan al colector Abras Bajo.  </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CAPÍTULO IX</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 xml:space="preserve">DEL DOMICILIO TRIBUTARIO, NOMENCLATURA Y DOCUMENTOS </w:t>
      </w:r>
    </w:p>
    <w:p w:rsidR="00F30B47" w:rsidRPr="006845C3" w:rsidRDefault="00F30B47" w:rsidP="00577A03">
      <w:pPr>
        <w:pStyle w:val="Sinespaciado"/>
        <w:jc w:val="center"/>
        <w:rPr>
          <w:rFonts w:ascii="Times New Roman" w:hAnsi="Times New Roman" w:cs="Times New Roman"/>
          <w:sz w:val="24"/>
          <w:szCs w:val="24"/>
        </w:rPr>
      </w:pPr>
      <w:r w:rsidRPr="006845C3">
        <w:rPr>
          <w:rFonts w:ascii="Times New Roman" w:hAnsi="Times New Roman" w:cs="Times New Roman"/>
          <w:b/>
          <w:sz w:val="24"/>
          <w:szCs w:val="24"/>
        </w:rPr>
        <w:t>HABILITANTES</w:t>
      </w:r>
    </w:p>
    <w:p w:rsidR="00F30B47" w:rsidRPr="006845C3" w:rsidRDefault="00F30B47" w:rsidP="00577A03">
      <w:pPr>
        <w:pStyle w:val="Sinespaciado"/>
        <w:jc w:val="center"/>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bCs/>
          <w:spacing w:val="-1"/>
          <w:w w:val="105"/>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24.-</w:t>
      </w:r>
      <w:r w:rsidR="00C21C98" w:rsidRPr="006845C3">
        <w:rPr>
          <w:rFonts w:ascii="Times New Roman" w:hAnsi="Times New Roman" w:cs="Times New Roman"/>
          <w:sz w:val="24"/>
          <w:szCs w:val="24"/>
        </w:rPr>
        <w:t xml:space="preserve"> Los nombres de las avenidas, calles, </w:t>
      </w:r>
      <w:r w:rsidR="00F30B47" w:rsidRPr="006845C3">
        <w:rPr>
          <w:rFonts w:ascii="Times New Roman" w:hAnsi="Times New Roman" w:cs="Times New Roman"/>
          <w:sz w:val="24"/>
          <w:szCs w:val="24"/>
        </w:rPr>
        <w:t xml:space="preserve">pasajes y parques de la Urbanización serán determinados por el Concejo Municipal,  de conformidad con la Ordenanza que </w:t>
      </w:r>
      <w:r w:rsidR="00F30B47" w:rsidRPr="006845C3">
        <w:rPr>
          <w:rFonts w:ascii="Times New Roman" w:hAnsi="Times New Roman" w:cs="Times New Roman"/>
          <w:bCs/>
          <w:w w:val="103"/>
          <w:sz w:val="24"/>
          <w:szCs w:val="24"/>
        </w:rPr>
        <w:t xml:space="preserve">Normaliza el Uso de </w:t>
      </w:r>
      <w:r>
        <w:rPr>
          <w:rFonts w:ascii="Times New Roman" w:hAnsi="Times New Roman" w:cs="Times New Roman"/>
          <w:bCs/>
          <w:w w:val="103"/>
          <w:sz w:val="24"/>
          <w:szCs w:val="24"/>
        </w:rPr>
        <w:t>u</w:t>
      </w:r>
      <w:r w:rsidR="00F30B47" w:rsidRPr="006845C3">
        <w:rPr>
          <w:rFonts w:ascii="Times New Roman" w:hAnsi="Times New Roman" w:cs="Times New Roman"/>
          <w:bCs/>
          <w:w w:val="103"/>
          <w:sz w:val="24"/>
          <w:szCs w:val="24"/>
        </w:rPr>
        <w:t xml:space="preserve">n Sistema Único de </w:t>
      </w:r>
      <w:r w:rsidR="00F30B47" w:rsidRPr="006845C3">
        <w:rPr>
          <w:rFonts w:ascii="Times New Roman" w:hAnsi="Times New Roman" w:cs="Times New Roman"/>
          <w:bCs/>
          <w:spacing w:val="-4"/>
          <w:w w:val="105"/>
          <w:sz w:val="24"/>
          <w:szCs w:val="24"/>
        </w:rPr>
        <w:t xml:space="preserve">Nomenclatura Urbana de Avenidas, Calles, Parques, Plazas y Espacios </w:t>
      </w:r>
      <w:r w:rsidR="00F30B47" w:rsidRPr="006845C3">
        <w:rPr>
          <w:rFonts w:ascii="Times New Roman" w:hAnsi="Times New Roman" w:cs="Times New Roman"/>
          <w:bCs/>
          <w:spacing w:val="-1"/>
          <w:w w:val="105"/>
          <w:sz w:val="24"/>
          <w:szCs w:val="24"/>
        </w:rPr>
        <w:t>Públicos de la Ciudad de San Pedro de Riobamba.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lastRenderedPageBreak/>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25.-</w:t>
      </w:r>
      <w:r w:rsidR="00F30B47" w:rsidRPr="006845C3">
        <w:rPr>
          <w:rFonts w:ascii="Times New Roman" w:hAnsi="Times New Roman" w:cs="Times New Roman"/>
          <w:sz w:val="24"/>
          <w:szCs w:val="24"/>
        </w:rPr>
        <w:t xml:space="preserve"> Forman parte integrante de la presente Ordenanza los siguientes documentos que serán protocolizados junto con la misma en una Notaría  e inscritos en el Registro de la Propiedad del Cantón Riobamba.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Memoria Técnica.</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Planos Topográficos georeferenciados, Pla</w:t>
      </w:r>
      <w:r w:rsidR="00C21C98" w:rsidRPr="006845C3">
        <w:rPr>
          <w:rFonts w:ascii="Times New Roman" w:hAnsi="Times New Roman" w:cs="Times New Roman"/>
          <w:sz w:val="24"/>
          <w:szCs w:val="24"/>
        </w:rPr>
        <w:t xml:space="preserve">nimétricos y de ubicación con  </w:t>
      </w:r>
      <w:r w:rsidRPr="006845C3">
        <w:rPr>
          <w:rFonts w:ascii="Times New Roman" w:hAnsi="Times New Roman" w:cs="Times New Roman"/>
          <w:sz w:val="24"/>
          <w:szCs w:val="24"/>
        </w:rPr>
        <w:t>ejes de vías.</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Planos urbanísticos</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Plano de Adosamientos y Retiros.</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Plano del diseño de áreas verdes y/o comunales.</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Proyecto de redes de agua potable.</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Proyecto de red de alcantarillado sanitario, pluvial o combinado.</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Plano de diseño vertical de vías.</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Proyecto de la red de energía eléctrica.</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Proyecto de la red telefónica.</w:t>
      </w:r>
    </w:p>
    <w:p w:rsidR="00F30B47" w:rsidRPr="006845C3" w:rsidRDefault="00F30B47" w:rsidP="00577A03">
      <w:pPr>
        <w:pStyle w:val="Sinespaciado"/>
        <w:numPr>
          <w:ilvl w:val="0"/>
          <w:numId w:val="1"/>
        </w:numPr>
        <w:jc w:val="both"/>
        <w:rPr>
          <w:rFonts w:ascii="Times New Roman" w:hAnsi="Times New Roman" w:cs="Times New Roman"/>
          <w:sz w:val="24"/>
          <w:szCs w:val="24"/>
        </w:rPr>
      </w:pPr>
      <w:r w:rsidRPr="006845C3">
        <w:rPr>
          <w:rFonts w:ascii="Times New Roman" w:hAnsi="Times New Roman" w:cs="Times New Roman"/>
          <w:sz w:val="24"/>
          <w:szCs w:val="24"/>
        </w:rPr>
        <w:t>Certificado de gravámenes.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0D5B96"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Art</w:t>
      </w:r>
      <w:r>
        <w:rPr>
          <w:rFonts w:ascii="Times New Roman" w:hAnsi="Times New Roman" w:cs="Times New Roman"/>
          <w:b/>
          <w:sz w:val="24"/>
          <w:szCs w:val="24"/>
        </w:rPr>
        <w:t>ículo</w:t>
      </w:r>
      <w:r w:rsidR="00F30B47" w:rsidRPr="006845C3">
        <w:rPr>
          <w:rFonts w:ascii="Times New Roman" w:hAnsi="Times New Roman" w:cs="Times New Roman"/>
          <w:b/>
          <w:sz w:val="24"/>
          <w:szCs w:val="24"/>
        </w:rPr>
        <w:t xml:space="preserve"> 26.-</w:t>
      </w:r>
      <w:r w:rsidR="00F30B47" w:rsidRPr="006845C3">
        <w:rPr>
          <w:rFonts w:ascii="Times New Roman" w:hAnsi="Times New Roman" w:cs="Times New Roman"/>
          <w:sz w:val="24"/>
          <w:szCs w:val="24"/>
        </w:rPr>
        <w:t xml:space="preserve"> Todos los documentos estarán debidamente aprobados y certificados de acuerdo al caso por las respectivas empresas y direcciones, y con respectivos respaldos digitales en formato no modificable.  Esta información será elevada a la página WEB institucional por la Dirección </w:t>
      </w:r>
      <w:r>
        <w:rPr>
          <w:rFonts w:ascii="Times New Roman" w:hAnsi="Times New Roman" w:cs="Times New Roman"/>
          <w:sz w:val="24"/>
          <w:szCs w:val="24"/>
        </w:rPr>
        <w:t xml:space="preserve">General </w:t>
      </w:r>
      <w:r w:rsidR="00F30B47" w:rsidRPr="006845C3">
        <w:rPr>
          <w:rFonts w:ascii="Times New Roman" w:hAnsi="Times New Roman" w:cs="Times New Roman"/>
          <w:sz w:val="24"/>
          <w:szCs w:val="24"/>
        </w:rPr>
        <w:t xml:space="preserve">de Gestión de Tecnologías de la Información  junto con la Ordenanza aprobada debidamente notariada y protocolizada, en un plazo de 60 días contados a partir de su vigencia. </w:t>
      </w:r>
    </w:p>
    <w:p w:rsidR="00F30B47" w:rsidRPr="006845C3" w:rsidRDefault="00F30B47" w:rsidP="00577A03">
      <w:pPr>
        <w:pStyle w:val="Sinespaciado"/>
        <w:jc w:val="center"/>
        <w:rPr>
          <w:rFonts w:ascii="Times New Roman" w:hAnsi="Times New Roman" w:cs="Times New Roman"/>
          <w:b/>
          <w:sz w:val="24"/>
          <w:szCs w:val="24"/>
        </w:rPr>
      </w:pPr>
      <w:r w:rsidRPr="006845C3">
        <w:rPr>
          <w:rFonts w:ascii="Times New Roman" w:hAnsi="Times New Roman" w:cs="Times New Roman"/>
          <w:b/>
          <w:sz w:val="24"/>
          <w:szCs w:val="24"/>
        </w:rPr>
        <w:t>DISPOSICIONES GENERALES</w:t>
      </w:r>
    </w:p>
    <w:p w:rsidR="00F30B47" w:rsidRPr="006845C3" w:rsidRDefault="00F30B47" w:rsidP="00577A03">
      <w:pPr>
        <w:pStyle w:val="Sinespaciado"/>
        <w:jc w:val="both"/>
        <w:rPr>
          <w:rFonts w:ascii="Times New Roman" w:hAnsi="Times New Roman" w:cs="Times New Roman"/>
          <w:b/>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b/>
          <w:sz w:val="24"/>
          <w:szCs w:val="24"/>
        </w:rPr>
        <w:t>PRIMERA:</w:t>
      </w:r>
      <w:r w:rsidRPr="006845C3">
        <w:rPr>
          <w:rFonts w:ascii="Times New Roman" w:hAnsi="Times New Roman" w:cs="Times New Roman"/>
          <w:sz w:val="24"/>
          <w:szCs w:val="24"/>
        </w:rPr>
        <w:t xml:space="preserve"> Se prohíbe todo trabajo de obras de urbanización hasta que entre en vigencia la presente Ordenanza.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b/>
          <w:bCs/>
          <w:sz w:val="24"/>
          <w:szCs w:val="24"/>
        </w:rPr>
        <w:t>SEGUNDA:</w:t>
      </w:r>
      <w:r w:rsidRPr="006845C3">
        <w:rPr>
          <w:rFonts w:ascii="Times New Roman" w:hAnsi="Times New Roman" w:cs="Times New Roman"/>
          <w:bCs/>
          <w:sz w:val="24"/>
          <w:szCs w:val="24"/>
        </w:rPr>
        <w:t xml:space="preserve"> El Gobierno Autónomo Descentralizado </w:t>
      </w:r>
      <w:r w:rsidR="000D5B96">
        <w:rPr>
          <w:rFonts w:ascii="Times New Roman" w:hAnsi="Times New Roman" w:cs="Times New Roman"/>
          <w:bCs/>
          <w:sz w:val="24"/>
          <w:szCs w:val="24"/>
        </w:rPr>
        <w:t xml:space="preserve">Municipal de Riobamba, </w:t>
      </w:r>
      <w:r w:rsidRPr="006845C3">
        <w:rPr>
          <w:rFonts w:ascii="Times New Roman" w:hAnsi="Times New Roman" w:cs="Times New Roman"/>
          <w:bCs/>
          <w:sz w:val="24"/>
          <w:szCs w:val="24"/>
        </w:rPr>
        <w:t>a través de sus dependencias</w:t>
      </w:r>
      <w:r w:rsidRPr="006845C3">
        <w:rPr>
          <w:rFonts w:ascii="Times New Roman" w:hAnsi="Times New Roman" w:cs="Times New Roman"/>
          <w:sz w:val="24"/>
          <w:szCs w:val="24"/>
        </w:rPr>
        <w:t xml:space="preserve"> no podrá otorgar </w:t>
      </w:r>
      <w:r w:rsidR="00F576D6" w:rsidRPr="006845C3">
        <w:rPr>
          <w:rFonts w:ascii="Times New Roman" w:hAnsi="Times New Roman" w:cs="Times New Roman"/>
          <w:sz w:val="24"/>
          <w:szCs w:val="24"/>
        </w:rPr>
        <w:t>IRM, IFU</w:t>
      </w:r>
      <w:r w:rsidRPr="006845C3">
        <w:rPr>
          <w:rFonts w:ascii="Times New Roman" w:hAnsi="Times New Roman" w:cs="Times New Roman"/>
          <w:sz w:val="24"/>
          <w:szCs w:val="24"/>
        </w:rPr>
        <w:t xml:space="preserve">, ni permiso alguno de construcción y/o compra venta, hasta tanto no se haya realizado la entrega recepción provisional de todas las obras de infraestructura sin observaciones, a satisfacción del </w:t>
      </w:r>
      <w:r w:rsidRPr="006845C3">
        <w:rPr>
          <w:rFonts w:ascii="Times New Roman" w:hAnsi="Times New Roman" w:cs="Times New Roman"/>
          <w:bCs/>
          <w:sz w:val="24"/>
          <w:szCs w:val="24"/>
        </w:rPr>
        <w:t>Gobierno Autónomo Descentralizado</w:t>
      </w:r>
      <w:r w:rsidR="0078529D" w:rsidRPr="006845C3">
        <w:rPr>
          <w:rFonts w:ascii="Times New Roman" w:hAnsi="Times New Roman" w:cs="Times New Roman"/>
          <w:bCs/>
          <w:sz w:val="24"/>
          <w:szCs w:val="24"/>
        </w:rPr>
        <w:t xml:space="preserve"> Municipal del Cantón Riobamba </w:t>
      </w:r>
      <w:r w:rsidRPr="006845C3">
        <w:rPr>
          <w:rFonts w:ascii="Times New Roman" w:hAnsi="Times New Roman" w:cs="Times New Roman"/>
          <w:sz w:val="24"/>
          <w:szCs w:val="24"/>
        </w:rPr>
        <w:t>y de las Empresas correspondientes; el Urbanizador podrá construir bodegas y campamentos provisionales.</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pStyle w:val="Sinespaciado"/>
        <w:jc w:val="both"/>
        <w:rPr>
          <w:rFonts w:ascii="Times New Roman" w:hAnsi="Times New Roman" w:cs="Times New Roman"/>
          <w:sz w:val="24"/>
          <w:szCs w:val="24"/>
        </w:rPr>
      </w:pPr>
      <w:r w:rsidRPr="006845C3">
        <w:rPr>
          <w:rFonts w:ascii="Times New Roman" w:hAnsi="Times New Roman" w:cs="Times New Roman"/>
          <w:b/>
          <w:bCs/>
          <w:sz w:val="24"/>
          <w:szCs w:val="24"/>
        </w:rPr>
        <w:t>TERCERA:</w:t>
      </w:r>
      <w:r w:rsidRPr="006845C3">
        <w:rPr>
          <w:rFonts w:ascii="Times New Roman" w:hAnsi="Times New Roman" w:cs="Times New Roman"/>
          <w:bCs/>
          <w:sz w:val="24"/>
          <w:szCs w:val="24"/>
        </w:rPr>
        <w:t xml:space="preserve"> </w:t>
      </w:r>
      <w:r w:rsidRPr="006845C3">
        <w:rPr>
          <w:rFonts w:ascii="Times New Roman" w:hAnsi="Times New Roman" w:cs="Times New Roman"/>
          <w:sz w:val="24"/>
          <w:szCs w:val="24"/>
        </w:rPr>
        <w:t xml:space="preserve">El Urbanizador está en la obligación de informar por escrito a la Dirección </w:t>
      </w:r>
      <w:r w:rsidR="000D5B96">
        <w:rPr>
          <w:rFonts w:ascii="Times New Roman" w:hAnsi="Times New Roman" w:cs="Times New Roman"/>
          <w:sz w:val="24"/>
          <w:szCs w:val="24"/>
        </w:rPr>
        <w:t xml:space="preserve">General </w:t>
      </w:r>
      <w:r w:rsidRPr="006845C3">
        <w:rPr>
          <w:rFonts w:ascii="Times New Roman" w:hAnsi="Times New Roman" w:cs="Times New Roman"/>
          <w:sz w:val="24"/>
          <w:szCs w:val="24"/>
        </w:rPr>
        <w:t xml:space="preserve">de Gestión de Obras Públicas y Procuraduría Institucional del </w:t>
      </w:r>
      <w:r w:rsidRPr="006845C3">
        <w:rPr>
          <w:rFonts w:ascii="Times New Roman" w:hAnsi="Times New Roman" w:cs="Times New Roman"/>
          <w:bCs/>
          <w:sz w:val="24"/>
          <w:szCs w:val="24"/>
        </w:rPr>
        <w:t>Gobierno Autónomo Descentralizado Municipal de</w:t>
      </w:r>
      <w:r w:rsidR="0078529D" w:rsidRPr="006845C3">
        <w:rPr>
          <w:rFonts w:ascii="Times New Roman" w:hAnsi="Times New Roman" w:cs="Times New Roman"/>
          <w:bCs/>
          <w:sz w:val="24"/>
          <w:szCs w:val="24"/>
        </w:rPr>
        <w:t xml:space="preserve">l cantón </w:t>
      </w:r>
      <w:r w:rsidRPr="006845C3">
        <w:rPr>
          <w:rFonts w:ascii="Times New Roman" w:hAnsi="Times New Roman" w:cs="Times New Roman"/>
          <w:bCs/>
          <w:sz w:val="24"/>
          <w:szCs w:val="24"/>
        </w:rPr>
        <w:t xml:space="preserve">Riobamba </w:t>
      </w:r>
      <w:r w:rsidRPr="006845C3">
        <w:rPr>
          <w:rFonts w:ascii="Times New Roman" w:hAnsi="Times New Roman" w:cs="Times New Roman"/>
          <w:sz w:val="24"/>
          <w:szCs w:val="24"/>
        </w:rPr>
        <w:t>cualquier cambio de domicilio de su representante legal, del coordinador general del Proyecto, y miembros del equipo técnico que ejecuten las obras de urbanización. En caso de incumplimiento se procederá a la suspensión de los trabajos y este tiempo será imputable al cronograma de avance de obra.</w:t>
      </w:r>
    </w:p>
    <w:p w:rsidR="00F30B47" w:rsidRPr="006845C3" w:rsidRDefault="00F30B47" w:rsidP="00577A03">
      <w:pPr>
        <w:pStyle w:val="Sinespaciado"/>
        <w:jc w:val="both"/>
        <w:rPr>
          <w:rFonts w:ascii="Times New Roman" w:hAnsi="Times New Roman" w:cs="Times New Roman"/>
          <w:sz w:val="24"/>
          <w:szCs w:val="24"/>
        </w:rPr>
      </w:pPr>
    </w:p>
    <w:p w:rsidR="00F30B47" w:rsidRPr="006845C3" w:rsidRDefault="00F30B47" w:rsidP="00577A03">
      <w:pPr>
        <w:jc w:val="both"/>
        <w:rPr>
          <w:sz w:val="24"/>
          <w:szCs w:val="24"/>
        </w:rPr>
      </w:pPr>
      <w:r w:rsidRPr="006845C3">
        <w:rPr>
          <w:b/>
          <w:sz w:val="24"/>
          <w:szCs w:val="24"/>
        </w:rPr>
        <w:t>VIGENCIA.-</w:t>
      </w:r>
      <w:r w:rsidRPr="006845C3">
        <w:rPr>
          <w:sz w:val="24"/>
          <w:szCs w:val="24"/>
        </w:rPr>
        <w:t xml:space="preserve">  </w:t>
      </w:r>
      <w:r w:rsidRPr="006845C3">
        <w:rPr>
          <w:w w:val="60"/>
          <w:sz w:val="24"/>
          <w:szCs w:val="24"/>
        </w:rPr>
        <w:t xml:space="preserve"> </w:t>
      </w:r>
      <w:r w:rsidRPr="006845C3">
        <w:rPr>
          <w:sz w:val="24"/>
          <w:szCs w:val="24"/>
        </w:rPr>
        <w:t xml:space="preserve">La presente Ordenanza entrará en vigencia a partir de </w:t>
      </w:r>
      <w:r w:rsidR="00F576D6" w:rsidRPr="006845C3">
        <w:rPr>
          <w:sz w:val="24"/>
          <w:szCs w:val="24"/>
        </w:rPr>
        <w:t>su inscripción en el Registro de la Propiedad.</w:t>
      </w:r>
    </w:p>
    <w:p w:rsidR="00F30B47" w:rsidRPr="000D5B96" w:rsidRDefault="00F30B47" w:rsidP="00577A03">
      <w:pPr>
        <w:pStyle w:val="Sinespaciado"/>
        <w:jc w:val="both"/>
        <w:rPr>
          <w:rFonts w:ascii="Times New Roman" w:hAnsi="Times New Roman" w:cs="Times New Roman"/>
          <w:sz w:val="24"/>
          <w:szCs w:val="24"/>
          <w:lang w:val="es-EC"/>
        </w:rPr>
      </w:pPr>
    </w:p>
    <w:p w:rsidR="00577A03" w:rsidRDefault="00577A03" w:rsidP="00577A03">
      <w:pPr>
        <w:jc w:val="both"/>
        <w:rPr>
          <w:sz w:val="24"/>
          <w:szCs w:val="24"/>
        </w:rPr>
      </w:pPr>
    </w:p>
    <w:p w:rsidR="0078529D" w:rsidRPr="006845C3" w:rsidRDefault="0078529D" w:rsidP="00577A03">
      <w:pPr>
        <w:jc w:val="both"/>
        <w:rPr>
          <w:sz w:val="24"/>
          <w:szCs w:val="24"/>
        </w:rPr>
      </w:pPr>
      <w:r w:rsidRPr="006845C3">
        <w:rPr>
          <w:sz w:val="24"/>
          <w:szCs w:val="24"/>
        </w:rPr>
        <w:t>Dada  en  la  Sala  de  Sesiones  del Concejo Municipal del Cantón Riobamba a los catorce días del mes de mayo de dos mil diecinueve.</w:t>
      </w:r>
    </w:p>
    <w:p w:rsidR="0078529D" w:rsidRPr="006845C3" w:rsidRDefault="0078529D" w:rsidP="00577A03">
      <w:pPr>
        <w:jc w:val="center"/>
        <w:rPr>
          <w:sz w:val="24"/>
          <w:szCs w:val="24"/>
        </w:rPr>
      </w:pPr>
    </w:p>
    <w:p w:rsidR="000D5B96" w:rsidRDefault="000D5B96" w:rsidP="00577A03">
      <w:pPr>
        <w:contextualSpacing/>
        <w:jc w:val="both"/>
        <w:rPr>
          <w:sz w:val="24"/>
          <w:szCs w:val="24"/>
        </w:rPr>
      </w:pPr>
    </w:p>
    <w:p w:rsidR="00821D39" w:rsidRDefault="00821D39" w:rsidP="00577A03">
      <w:pPr>
        <w:contextualSpacing/>
        <w:jc w:val="both"/>
        <w:rPr>
          <w:sz w:val="24"/>
          <w:szCs w:val="24"/>
        </w:rPr>
      </w:pPr>
    </w:p>
    <w:p w:rsidR="0078529D" w:rsidRPr="006845C3" w:rsidRDefault="0078529D" w:rsidP="00577A03">
      <w:pPr>
        <w:contextualSpacing/>
        <w:jc w:val="both"/>
        <w:rPr>
          <w:sz w:val="24"/>
          <w:szCs w:val="24"/>
        </w:rPr>
      </w:pPr>
      <w:r w:rsidRPr="006845C3">
        <w:rPr>
          <w:sz w:val="24"/>
          <w:szCs w:val="24"/>
        </w:rPr>
        <w:t xml:space="preserve">Ing. Byron Napoleón Cadena Oleas, </w:t>
      </w:r>
      <w:proofErr w:type="spellStart"/>
      <w:r w:rsidRPr="006845C3">
        <w:rPr>
          <w:sz w:val="24"/>
          <w:szCs w:val="24"/>
        </w:rPr>
        <w:t>Ph</w:t>
      </w:r>
      <w:proofErr w:type="spellEnd"/>
      <w:r w:rsidRPr="006845C3">
        <w:rPr>
          <w:sz w:val="24"/>
          <w:szCs w:val="24"/>
        </w:rPr>
        <w:t>. D.                            Dr. Iván Paredes García</w:t>
      </w:r>
    </w:p>
    <w:p w:rsidR="0078529D" w:rsidRPr="006845C3" w:rsidRDefault="0078529D" w:rsidP="00577A03">
      <w:pPr>
        <w:contextualSpacing/>
        <w:jc w:val="both"/>
        <w:rPr>
          <w:b/>
          <w:sz w:val="24"/>
          <w:szCs w:val="24"/>
        </w:rPr>
      </w:pPr>
      <w:r w:rsidRPr="006845C3">
        <w:rPr>
          <w:b/>
          <w:sz w:val="24"/>
          <w:szCs w:val="24"/>
        </w:rPr>
        <w:t xml:space="preserve">    ALCALDE DE RIOBAMBA         </w:t>
      </w:r>
      <w:r w:rsidR="00577A03">
        <w:rPr>
          <w:b/>
          <w:sz w:val="24"/>
          <w:szCs w:val="24"/>
        </w:rPr>
        <w:t xml:space="preserve">                                   </w:t>
      </w:r>
      <w:r w:rsidRPr="006845C3">
        <w:rPr>
          <w:b/>
          <w:sz w:val="24"/>
          <w:szCs w:val="24"/>
        </w:rPr>
        <w:t xml:space="preserve">SECRETARIO GENERAL </w:t>
      </w:r>
    </w:p>
    <w:p w:rsidR="0078529D" w:rsidRPr="006845C3" w:rsidRDefault="0078529D" w:rsidP="00577A03">
      <w:pPr>
        <w:contextualSpacing/>
        <w:jc w:val="both"/>
        <w:rPr>
          <w:b/>
          <w:sz w:val="24"/>
          <w:szCs w:val="24"/>
        </w:rPr>
      </w:pPr>
      <w:r w:rsidRPr="006845C3">
        <w:rPr>
          <w:b/>
          <w:sz w:val="24"/>
          <w:szCs w:val="24"/>
        </w:rPr>
        <w:t xml:space="preserve">                                                                                                        DE CONCEJO</w:t>
      </w:r>
    </w:p>
    <w:p w:rsidR="00577A03" w:rsidRDefault="00577A03" w:rsidP="00577A03">
      <w:pPr>
        <w:pStyle w:val="Ttulo1"/>
        <w:spacing w:before="0" w:line="240" w:lineRule="auto"/>
        <w:jc w:val="both"/>
        <w:rPr>
          <w:rFonts w:ascii="Times New Roman" w:hAnsi="Times New Roman" w:cs="Times New Roman"/>
          <w:color w:val="auto"/>
          <w:sz w:val="24"/>
          <w:szCs w:val="24"/>
        </w:rPr>
      </w:pPr>
    </w:p>
    <w:p w:rsidR="0078529D" w:rsidRPr="006845C3" w:rsidRDefault="0078529D" w:rsidP="00577A03">
      <w:pPr>
        <w:pStyle w:val="Ttulo1"/>
        <w:spacing w:before="0" w:line="240" w:lineRule="auto"/>
        <w:jc w:val="both"/>
        <w:rPr>
          <w:rFonts w:ascii="Times New Roman" w:hAnsi="Times New Roman" w:cs="Times New Roman"/>
          <w:color w:val="auto"/>
          <w:sz w:val="24"/>
          <w:szCs w:val="24"/>
        </w:rPr>
      </w:pPr>
      <w:r w:rsidRPr="000D5B96">
        <w:rPr>
          <w:rFonts w:ascii="Times New Roman" w:hAnsi="Times New Roman" w:cs="Times New Roman"/>
          <w:color w:val="auto"/>
          <w:sz w:val="24"/>
          <w:szCs w:val="24"/>
        </w:rPr>
        <w:t>CERTIFICADO DE DISCUSIÓN</w:t>
      </w:r>
      <w:r w:rsidRPr="006845C3">
        <w:rPr>
          <w:rFonts w:ascii="Times New Roman" w:hAnsi="Times New Roman" w:cs="Times New Roman"/>
          <w:color w:val="auto"/>
          <w:sz w:val="24"/>
          <w:szCs w:val="24"/>
        </w:rPr>
        <w:t xml:space="preserve">: </w:t>
      </w:r>
      <w:r w:rsidRPr="000D5B96">
        <w:rPr>
          <w:rFonts w:ascii="Times New Roman" w:hAnsi="Times New Roman" w:cs="Times New Roman"/>
          <w:b w:val="0"/>
          <w:color w:val="auto"/>
          <w:sz w:val="24"/>
          <w:szCs w:val="24"/>
        </w:rPr>
        <w:t>El infrascrito Secretario General del Concejo Cantonal de Riobamba,</w:t>
      </w:r>
      <w:r w:rsidRPr="006845C3">
        <w:rPr>
          <w:rFonts w:ascii="Times New Roman" w:hAnsi="Times New Roman" w:cs="Times New Roman"/>
          <w:color w:val="auto"/>
          <w:sz w:val="24"/>
          <w:szCs w:val="24"/>
        </w:rPr>
        <w:t xml:space="preserve"> </w:t>
      </w:r>
      <w:r w:rsidRPr="000D5B96">
        <w:rPr>
          <w:rFonts w:ascii="Times New Roman" w:hAnsi="Times New Roman" w:cs="Times New Roman"/>
          <w:color w:val="auto"/>
          <w:sz w:val="24"/>
          <w:szCs w:val="24"/>
        </w:rPr>
        <w:t>CERTIFICA</w:t>
      </w:r>
      <w:r w:rsidRPr="006845C3">
        <w:rPr>
          <w:rFonts w:ascii="Times New Roman" w:hAnsi="Times New Roman" w:cs="Times New Roman"/>
          <w:b w:val="0"/>
          <w:color w:val="auto"/>
          <w:sz w:val="24"/>
          <w:szCs w:val="24"/>
        </w:rPr>
        <w:t>:</w:t>
      </w:r>
      <w:r w:rsidRPr="006845C3">
        <w:rPr>
          <w:rFonts w:ascii="Times New Roman" w:hAnsi="Times New Roman" w:cs="Times New Roman"/>
          <w:color w:val="auto"/>
          <w:sz w:val="24"/>
          <w:szCs w:val="24"/>
        </w:rPr>
        <w:t xml:space="preserve"> Que, LA ORDENANZA DE LA URBANIZACIÓN “SAN PEDRO DE RIOBAMBA”, UBICADA EN EL SECTOR NORTE DE LA CIUDAD, ANTES PARROQUIA LICAN HOY PARROQUIA LIZARZABURU, ENTRE EL BARRIO SANTA ANA DEL NORTE Y LAS URBANIZACIONES URDESA DEL NORTE Y TIERRAS DEL NORTE, ANTES ÁREA DE INFLUENCIA INMEDIATA AHORA ZONA DE PLANEAMIENTO Z20, DE ESTA CIUDAD DE RIOBAMBA, PROVINCIA DE CHIMBORAZO</w:t>
      </w:r>
      <w:r w:rsidRPr="006845C3">
        <w:rPr>
          <w:rFonts w:ascii="Times New Roman" w:hAnsi="Times New Roman" w:cs="Times New Roman"/>
          <w:b w:val="0"/>
          <w:color w:val="auto"/>
          <w:sz w:val="24"/>
          <w:szCs w:val="24"/>
        </w:rPr>
        <w:t>, fue  discutida  y  aprobada  por  el  Concejo Municipal de Riobamba en sesiones realizadas el 06 y 14 de mayo de 2019.-</w:t>
      </w:r>
      <w:r w:rsidRPr="006845C3">
        <w:rPr>
          <w:rFonts w:ascii="Times New Roman" w:hAnsi="Times New Roman" w:cs="Times New Roman"/>
          <w:color w:val="auto"/>
          <w:sz w:val="24"/>
          <w:szCs w:val="24"/>
        </w:rPr>
        <w:t xml:space="preserve"> LO CERTIFICO</w:t>
      </w:r>
      <w:r w:rsidRPr="006845C3">
        <w:rPr>
          <w:rFonts w:ascii="Times New Roman" w:hAnsi="Times New Roman" w:cs="Times New Roman"/>
          <w:b w:val="0"/>
          <w:color w:val="auto"/>
          <w:sz w:val="24"/>
          <w:szCs w:val="24"/>
        </w:rPr>
        <w:t>.</w:t>
      </w:r>
    </w:p>
    <w:p w:rsidR="0078529D" w:rsidRPr="006845C3" w:rsidRDefault="0078529D" w:rsidP="00577A03">
      <w:pPr>
        <w:rPr>
          <w:sz w:val="24"/>
          <w:szCs w:val="24"/>
        </w:rPr>
      </w:pPr>
    </w:p>
    <w:p w:rsidR="00577A03" w:rsidRDefault="00577A03" w:rsidP="00577A03">
      <w:pPr>
        <w:pStyle w:val="Subttulo"/>
        <w:spacing w:after="0" w:line="240" w:lineRule="auto"/>
        <w:jc w:val="left"/>
        <w:rPr>
          <w:rStyle w:val="nfasis"/>
          <w:rFonts w:ascii="Times New Roman" w:hAnsi="Times New Roman"/>
          <w:i w:val="0"/>
        </w:rPr>
      </w:pPr>
    </w:p>
    <w:p w:rsidR="00577A03" w:rsidRDefault="00577A03" w:rsidP="00577A03">
      <w:pPr>
        <w:pStyle w:val="Subttulo"/>
        <w:spacing w:after="0" w:line="240" w:lineRule="auto"/>
        <w:jc w:val="left"/>
        <w:rPr>
          <w:rStyle w:val="nfasis"/>
          <w:rFonts w:ascii="Times New Roman" w:hAnsi="Times New Roman"/>
          <w:i w:val="0"/>
        </w:rPr>
      </w:pPr>
      <w:bookmarkStart w:id="0" w:name="_GoBack"/>
      <w:bookmarkEnd w:id="0"/>
    </w:p>
    <w:p w:rsidR="0078529D" w:rsidRPr="006845C3" w:rsidRDefault="0078529D" w:rsidP="00577A03">
      <w:pPr>
        <w:pStyle w:val="Subttulo"/>
        <w:spacing w:after="0" w:line="240" w:lineRule="auto"/>
        <w:jc w:val="left"/>
        <w:rPr>
          <w:rStyle w:val="nfasis"/>
          <w:rFonts w:ascii="Times New Roman" w:hAnsi="Times New Roman"/>
          <w:i w:val="0"/>
        </w:rPr>
      </w:pPr>
      <w:r w:rsidRPr="006845C3">
        <w:rPr>
          <w:rStyle w:val="nfasis"/>
          <w:rFonts w:ascii="Times New Roman" w:hAnsi="Times New Roman"/>
          <w:i w:val="0"/>
        </w:rPr>
        <w:t>Dr. Iván Paredes García</w:t>
      </w:r>
    </w:p>
    <w:p w:rsidR="0078529D" w:rsidRPr="006845C3" w:rsidRDefault="0078529D" w:rsidP="00577A03">
      <w:pPr>
        <w:pStyle w:val="Subttulo"/>
        <w:spacing w:after="0" w:line="240" w:lineRule="auto"/>
        <w:jc w:val="left"/>
        <w:rPr>
          <w:rStyle w:val="nfasis"/>
          <w:rFonts w:ascii="Times New Roman" w:hAnsi="Times New Roman"/>
          <w:b/>
          <w:i w:val="0"/>
        </w:rPr>
      </w:pPr>
      <w:r w:rsidRPr="006845C3">
        <w:rPr>
          <w:rStyle w:val="nfasis"/>
          <w:rFonts w:ascii="Times New Roman" w:hAnsi="Times New Roman"/>
          <w:b/>
          <w:i w:val="0"/>
        </w:rPr>
        <w:t xml:space="preserve">SECRETARIO GENERAL DE CONCEJO </w:t>
      </w:r>
    </w:p>
    <w:p w:rsidR="0078529D" w:rsidRPr="006845C3" w:rsidRDefault="0078529D" w:rsidP="00577A03">
      <w:pPr>
        <w:tabs>
          <w:tab w:val="left" w:pos="426"/>
          <w:tab w:val="left" w:pos="851"/>
          <w:tab w:val="left" w:pos="993"/>
        </w:tabs>
        <w:kinsoku w:val="0"/>
        <w:overflowPunct w:val="0"/>
        <w:jc w:val="both"/>
        <w:textAlignment w:val="baseline"/>
        <w:rPr>
          <w:b/>
          <w:sz w:val="24"/>
          <w:szCs w:val="24"/>
        </w:rPr>
      </w:pPr>
    </w:p>
    <w:p w:rsidR="0078529D" w:rsidRPr="006845C3" w:rsidRDefault="0078529D" w:rsidP="00577A03">
      <w:pPr>
        <w:tabs>
          <w:tab w:val="left" w:pos="426"/>
          <w:tab w:val="left" w:pos="851"/>
          <w:tab w:val="left" w:pos="993"/>
        </w:tabs>
        <w:kinsoku w:val="0"/>
        <w:overflowPunct w:val="0"/>
        <w:jc w:val="both"/>
        <w:textAlignment w:val="baseline"/>
        <w:rPr>
          <w:b/>
          <w:sz w:val="24"/>
          <w:szCs w:val="24"/>
        </w:rPr>
      </w:pPr>
      <w:r w:rsidRPr="006845C3">
        <w:rPr>
          <w:b/>
          <w:sz w:val="24"/>
          <w:szCs w:val="24"/>
        </w:rPr>
        <w:t xml:space="preserve">SECRETARÍA GENERAL DEL CONCEJO.- </w:t>
      </w:r>
      <w:r w:rsidRPr="006845C3">
        <w:rPr>
          <w:sz w:val="24"/>
          <w:szCs w:val="24"/>
        </w:rPr>
        <w:t xml:space="preserve">Una vez que la presente </w:t>
      </w:r>
      <w:r w:rsidRPr="006845C3">
        <w:rPr>
          <w:b/>
          <w:sz w:val="24"/>
          <w:szCs w:val="24"/>
        </w:rPr>
        <w:t>ORDENANZA DE LA URBANIZACIÓN “SAN PEDRO DE RIOBAMBA”, UBICADA EN EL SECTOR NORTE DE LA CIUDAD, ANTES PARROQUIA LICAN HOY PARROQUIA LIZARZABURU, ENTRE EL BARRIO SANTA ANA DEL NORTE Y LAS URBANIZACIONES URDESA DEL NORTE Y TIERRAS DEL NORTE, ANTES ÁREA DE INFLUENCIA INMEDIATA AHORA ZONA DE PLANEAMIENTO Z20, DE ESTA CIUDAD DE RIOBAMBA, PROVINCIA DE CHIMBORAZO</w:t>
      </w:r>
      <w:r w:rsidRPr="006845C3">
        <w:rPr>
          <w:b/>
          <w:sz w:val="24"/>
          <w:szCs w:val="24"/>
          <w:lang w:val="es-ES" w:eastAsia="es-ES"/>
        </w:rPr>
        <w:t>,</w:t>
      </w:r>
      <w:r w:rsidRPr="006845C3">
        <w:rPr>
          <w:b/>
          <w:sz w:val="24"/>
          <w:szCs w:val="24"/>
        </w:rPr>
        <w:t xml:space="preserve"> </w:t>
      </w:r>
      <w:r w:rsidRPr="006845C3">
        <w:rPr>
          <w:sz w:val="24"/>
          <w:szCs w:val="24"/>
        </w:rPr>
        <w:t xml:space="preserve">ha sido conocida y aprobada por el Concejo Municipal en las fechas señaladas;  y de conformidad con lo dispuesto en el Artículo </w:t>
      </w:r>
      <w:r w:rsidRPr="006845C3">
        <w:rPr>
          <w:bCs/>
          <w:sz w:val="24"/>
          <w:szCs w:val="24"/>
        </w:rPr>
        <w:t>324 del Código Orgánico de Organización Territorial, Autonomía y Descentralización</w:t>
      </w:r>
      <w:r w:rsidRPr="006845C3">
        <w:rPr>
          <w:sz w:val="24"/>
          <w:szCs w:val="24"/>
        </w:rPr>
        <w:t xml:space="preserve">, remítase al señor Alcalde del Cantón, en seis ejemplares, a efecto de su sanción legal.- </w:t>
      </w:r>
      <w:r w:rsidRPr="006845C3">
        <w:rPr>
          <w:b/>
          <w:sz w:val="24"/>
          <w:szCs w:val="24"/>
        </w:rPr>
        <w:t>CÚMPLASE</w:t>
      </w:r>
      <w:r w:rsidRPr="006845C3">
        <w:rPr>
          <w:sz w:val="24"/>
          <w:szCs w:val="24"/>
        </w:rPr>
        <w:t>.-</w:t>
      </w:r>
    </w:p>
    <w:p w:rsidR="005C5837" w:rsidRPr="006845C3" w:rsidRDefault="005C5837" w:rsidP="00577A03">
      <w:pPr>
        <w:jc w:val="both"/>
        <w:rPr>
          <w:sz w:val="24"/>
          <w:szCs w:val="24"/>
        </w:rPr>
      </w:pPr>
    </w:p>
    <w:p w:rsidR="0078529D" w:rsidRPr="006845C3" w:rsidRDefault="005C5837" w:rsidP="00577A03">
      <w:pPr>
        <w:jc w:val="both"/>
        <w:rPr>
          <w:sz w:val="24"/>
          <w:szCs w:val="24"/>
        </w:rPr>
      </w:pPr>
      <w:r w:rsidRPr="006845C3">
        <w:rPr>
          <w:sz w:val="24"/>
          <w:szCs w:val="24"/>
        </w:rPr>
        <w:t>Riobamba, 22</w:t>
      </w:r>
      <w:r w:rsidR="0078529D" w:rsidRPr="006845C3">
        <w:rPr>
          <w:sz w:val="24"/>
          <w:szCs w:val="24"/>
        </w:rPr>
        <w:t xml:space="preserve"> de mayo del  2019.</w:t>
      </w:r>
    </w:p>
    <w:p w:rsidR="0078529D" w:rsidRPr="006845C3" w:rsidRDefault="0078529D" w:rsidP="00577A03">
      <w:pPr>
        <w:jc w:val="both"/>
        <w:rPr>
          <w:sz w:val="24"/>
          <w:szCs w:val="24"/>
        </w:rPr>
      </w:pPr>
    </w:p>
    <w:p w:rsidR="006845C3" w:rsidRPr="006845C3" w:rsidRDefault="006845C3" w:rsidP="00577A03">
      <w:pPr>
        <w:contextualSpacing/>
        <w:jc w:val="both"/>
        <w:rPr>
          <w:sz w:val="24"/>
          <w:szCs w:val="24"/>
        </w:rPr>
      </w:pPr>
    </w:p>
    <w:p w:rsidR="0078529D" w:rsidRPr="006845C3" w:rsidRDefault="0078529D" w:rsidP="00577A03">
      <w:pPr>
        <w:contextualSpacing/>
        <w:jc w:val="both"/>
        <w:rPr>
          <w:sz w:val="24"/>
          <w:szCs w:val="24"/>
        </w:rPr>
      </w:pPr>
      <w:r w:rsidRPr="006845C3">
        <w:rPr>
          <w:sz w:val="24"/>
          <w:szCs w:val="24"/>
        </w:rPr>
        <w:t>Dr. Iván Paredes García</w:t>
      </w:r>
    </w:p>
    <w:p w:rsidR="0078529D" w:rsidRPr="006845C3" w:rsidRDefault="0078529D" w:rsidP="00577A03">
      <w:pPr>
        <w:contextualSpacing/>
        <w:jc w:val="both"/>
        <w:rPr>
          <w:b/>
          <w:sz w:val="24"/>
          <w:szCs w:val="24"/>
        </w:rPr>
      </w:pPr>
      <w:r w:rsidRPr="006845C3">
        <w:rPr>
          <w:b/>
          <w:sz w:val="24"/>
          <w:szCs w:val="24"/>
        </w:rPr>
        <w:t xml:space="preserve">SECRETARIO GENERAL DE CONCEJO </w:t>
      </w:r>
    </w:p>
    <w:p w:rsidR="0078529D" w:rsidRPr="006845C3" w:rsidRDefault="0078529D" w:rsidP="00577A03">
      <w:pPr>
        <w:tabs>
          <w:tab w:val="left" w:pos="426"/>
          <w:tab w:val="left" w:pos="851"/>
          <w:tab w:val="left" w:pos="993"/>
        </w:tabs>
        <w:kinsoku w:val="0"/>
        <w:overflowPunct w:val="0"/>
        <w:jc w:val="both"/>
        <w:textAlignment w:val="baseline"/>
        <w:rPr>
          <w:b/>
          <w:sz w:val="24"/>
          <w:szCs w:val="24"/>
        </w:rPr>
      </w:pPr>
    </w:p>
    <w:p w:rsidR="0078529D" w:rsidRPr="006845C3" w:rsidRDefault="0078529D" w:rsidP="00577A03">
      <w:pPr>
        <w:tabs>
          <w:tab w:val="left" w:pos="426"/>
          <w:tab w:val="left" w:pos="851"/>
          <w:tab w:val="left" w:pos="993"/>
        </w:tabs>
        <w:kinsoku w:val="0"/>
        <w:overflowPunct w:val="0"/>
        <w:jc w:val="both"/>
        <w:textAlignment w:val="baseline"/>
        <w:rPr>
          <w:b/>
          <w:sz w:val="24"/>
          <w:szCs w:val="24"/>
        </w:rPr>
      </w:pPr>
      <w:r w:rsidRPr="006845C3">
        <w:rPr>
          <w:b/>
          <w:sz w:val="24"/>
          <w:szCs w:val="24"/>
        </w:rPr>
        <w:t xml:space="preserve">ALCALDÍA DEL CANTÓN RIOBAMBA.- </w:t>
      </w:r>
      <w:r w:rsidRPr="006845C3">
        <w:rPr>
          <w:sz w:val="24"/>
          <w:szCs w:val="24"/>
        </w:rPr>
        <w:t>Una vez que el Concejo Municipal ha conocido, discutido y aprobado</w:t>
      </w:r>
      <w:r w:rsidR="005C5837" w:rsidRPr="006845C3">
        <w:rPr>
          <w:sz w:val="24"/>
          <w:szCs w:val="24"/>
        </w:rPr>
        <w:t xml:space="preserve"> la</w:t>
      </w:r>
      <w:r w:rsidRPr="006845C3">
        <w:rPr>
          <w:sz w:val="24"/>
          <w:szCs w:val="24"/>
        </w:rPr>
        <w:t xml:space="preserve"> </w:t>
      </w:r>
      <w:r w:rsidR="005C5837" w:rsidRPr="006845C3">
        <w:rPr>
          <w:b/>
          <w:sz w:val="24"/>
          <w:szCs w:val="24"/>
        </w:rPr>
        <w:t>ORDENANZA DE LA URBANIZACIÓN “SAN PEDRO DE RIOBAMBA”, UBICADA EN EL SECTOR NORTE DE LA CIUDAD, ANTES PARROQUIA LICAN HOY PARROQUIA LIZARZABURU, ENTRE EL BARRIO SANTA ANA DEL NORTE Y LAS URBANIZACIONES URDESA DEL NORTE Y TIERRAS DEL NORTE, ANTES ÁREA DE INFLUENCIA INMEDIATA AHORA ZONA DE PLANEAMIENTO Z20, DE ESTA CIUDAD DE RIOBAMBA, PROVINCIA DE CHIMBORAZO,</w:t>
      </w:r>
      <w:r w:rsidRPr="006845C3">
        <w:rPr>
          <w:b/>
          <w:sz w:val="24"/>
          <w:szCs w:val="24"/>
        </w:rPr>
        <w:t xml:space="preserve"> </w:t>
      </w:r>
      <w:r w:rsidRPr="006845C3">
        <w:rPr>
          <w:sz w:val="24"/>
          <w:szCs w:val="24"/>
        </w:rPr>
        <w:t>la sanciono y dispongo su publicación, de conformidad con lo dispuesto en el Artículo 324</w:t>
      </w:r>
      <w:r w:rsidRPr="006845C3">
        <w:rPr>
          <w:bCs/>
          <w:sz w:val="24"/>
          <w:szCs w:val="24"/>
        </w:rPr>
        <w:t xml:space="preserve"> del Código Orgánico de Organización Territorial, Autonomía y </w:t>
      </w:r>
      <w:r w:rsidRPr="006845C3">
        <w:rPr>
          <w:bCs/>
          <w:sz w:val="24"/>
          <w:szCs w:val="24"/>
        </w:rPr>
        <w:lastRenderedPageBreak/>
        <w:t>Descentralización</w:t>
      </w:r>
      <w:r w:rsidRPr="006845C3">
        <w:rPr>
          <w:sz w:val="24"/>
          <w:szCs w:val="24"/>
        </w:rPr>
        <w:t xml:space="preserve">, a efecto de su vigencia y aplicación legal.- </w:t>
      </w:r>
    </w:p>
    <w:p w:rsidR="0078529D" w:rsidRPr="006845C3" w:rsidRDefault="0078529D" w:rsidP="00577A03">
      <w:pPr>
        <w:jc w:val="both"/>
        <w:rPr>
          <w:b/>
          <w:sz w:val="24"/>
          <w:szCs w:val="24"/>
        </w:rPr>
      </w:pPr>
      <w:r w:rsidRPr="006845C3">
        <w:rPr>
          <w:b/>
          <w:sz w:val="24"/>
          <w:szCs w:val="24"/>
        </w:rPr>
        <w:t>EJECÚTESE.- NOTIFÍQUESE.-</w:t>
      </w:r>
    </w:p>
    <w:p w:rsidR="005C5837" w:rsidRPr="006845C3" w:rsidRDefault="005C5837" w:rsidP="00577A03">
      <w:pPr>
        <w:jc w:val="both"/>
        <w:rPr>
          <w:sz w:val="24"/>
          <w:szCs w:val="24"/>
        </w:rPr>
      </w:pPr>
    </w:p>
    <w:p w:rsidR="0078529D" w:rsidRPr="006845C3" w:rsidRDefault="005C5837" w:rsidP="00577A03">
      <w:pPr>
        <w:jc w:val="both"/>
        <w:rPr>
          <w:sz w:val="24"/>
          <w:szCs w:val="24"/>
        </w:rPr>
      </w:pPr>
      <w:r w:rsidRPr="006845C3">
        <w:rPr>
          <w:sz w:val="24"/>
          <w:szCs w:val="24"/>
        </w:rPr>
        <w:t>Riobamba,  22</w:t>
      </w:r>
      <w:r w:rsidR="0078529D" w:rsidRPr="006845C3">
        <w:rPr>
          <w:sz w:val="24"/>
          <w:szCs w:val="24"/>
        </w:rPr>
        <w:t xml:space="preserve"> de mayo de 2019. </w:t>
      </w:r>
    </w:p>
    <w:p w:rsidR="0078529D" w:rsidRPr="006845C3" w:rsidRDefault="0078529D" w:rsidP="00577A03">
      <w:pPr>
        <w:jc w:val="both"/>
        <w:rPr>
          <w:b/>
          <w:sz w:val="24"/>
          <w:szCs w:val="24"/>
        </w:rPr>
      </w:pPr>
    </w:p>
    <w:p w:rsidR="000D5B96" w:rsidRDefault="000D5B96" w:rsidP="00577A03">
      <w:pPr>
        <w:contextualSpacing/>
        <w:jc w:val="both"/>
        <w:rPr>
          <w:sz w:val="24"/>
          <w:szCs w:val="24"/>
        </w:rPr>
      </w:pPr>
    </w:p>
    <w:p w:rsidR="0078529D" w:rsidRPr="006845C3" w:rsidRDefault="0078529D" w:rsidP="00577A03">
      <w:pPr>
        <w:contextualSpacing/>
        <w:jc w:val="both"/>
        <w:rPr>
          <w:sz w:val="24"/>
          <w:szCs w:val="24"/>
        </w:rPr>
      </w:pPr>
      <w:r w:rsidRPr="006845C3">
        <w:rPr>
          <w:sz w:val="24"/>
          <w:szCs w:val="24"/>
        </w:rPr>
        <w:t xml:space="preserve">Ing. Byron Napoleón Cadena Oleas, </w:t>
      </w:r>
      <w:proofErr w:type="spellStart"/>
      <w:r w:rsidRPr="006845C3">
        <w:rPr>
          <w:sz w:val="24"/>
          <w:szCs w:val="24"/>
        </w:rPr>
        <w:t>Ph</w:t>
      </w:r>
      <w:proofErr w:type="spellEnd"/>
      <w:r w:rsidRPr="006845C3">
        <w:rPr>
          <w:sz w:val="24"/>
          <w:szCs w:val="24"/>
        </w:rPr>
        <w:t xml:space="preserve">. D. </w:t>
      </w:r>
    </w:p>
    <w:p w:rsidR="0078529D" w:rsidRPr="006845C3" w:rsidRDefault="0078529D" w:rsidP="00577A03">
      <w:pPr>
        <w:contextualSpacing/>
        <w:jc w:val="both"/>
        <w:rPr>
          <w:b/>
          <w:sz w:val="24"/>
          <w:szCs w:val="24"/>
        </w:rPr>
      </w:pPr>
      <w:r w:rsidRPr="006845C3">
        <w:rPr>
          <w:b/>
          <w:sz w:val="24"/>
          <w:szCs w:val="24"/>
        </w:rPr>
        <w:t>ALCALDE DE RIOBAMBA</w:t>
      </w:r>
    </w:p>
    <w:p w:rsidR="0078529D" w:rsidRPr="006845C3" w:rsidRDefault="0078529D" w:rsidP="00577A03">
      <w:pPr>
        <w:jc w:val="both"/>
        <w:rPr>
          <w:b/>
          <w:sz w:val="24"/>
          <w:szCs w:val="24"/>
        </w:rPr>
      </w:pPr>
    </w:p>
    <w:p w:rsidR="0078529D" w:rsidRPr="006845C3" w:rsidRDefault="0078529D" w:rsidP="00577A03">
      <w:pPr>
        <w:jc w:val="both"/>
        <w:rPr>
          <w:b/>
          <w:sz w:val="24"/>
          <w:szCs w:val="24"/>
        </w:rPr>
      </w:pPr>
      <w:r w:rsidRPr="006845C3">
        <w:rPr>
          <w:b/>
          <w:sz w:val="24"/>
          <w:szCs w:val="24"/>
        </w:rPr>
        <w:t>CERTIFICACIÓN.-</w:t>
      </w:r>
      <w:r w:rsidRPr="006845C3">
        <w:rPr>
          <w:sz w:val="24"/>
          <w:szCs w:val="24"/>
        </w:rPr>
        <w:t xml:space="preserve"> El infrascrito Secretario General de Concejo </w:t>
      </w:r>
      <w:r w:rsidR="000D5B96">
        <w:rPr>
          <w:sz w:val="24"/>
          <w:szCs w:val="24"/>
        </w:rPr>
        <w:t xml:space="preserve">Municipal </w:t>
      </w:r>
      <w:r w:rsidRPr="006845C3">
        <w:rPr>
          <w:sz w:val="24"/>
          <w:szCs w:val="24"/>
        </w:rPr>
        <w:t xml:space="preserve">de Riobamba, </w:t>
      </w:r>
      <w:r w:rsidRPr="006845C3">
        <w:rPr>
          <w:b/>
          <w:sz w:val="24"/>
          <w:szCs w:val="24"/>
        </w:rPr>
        <w:t>CERTIFICA QUE:</w:t>
      </w:r>
      <w:r w:rsidRPr="006845C3">
        <w:rPr>
          <w:sz w:val="24"/>
          <w:szCs w:val="24"/>
        </w:rPr>
        <w:t xml:space="preserve"> El </w:t>
      </w:r>
      <w:r w:rsidR="000D5B96">
        <w:rPr>
          <w:sz w:val="24"/>
          <w:szCs w:val="24"/>
        </w:rPr>
        <w:t>Ing.</w:t>
      </w:r>
      <w:r w:rsidRPr="006845C3">
        <w:rPr>
          <w:sz w:val="24"/>
          <w:szCs w:val="24"/>
        </w:rPr>
        <w:t xml:space="preserve"> Byron Napoleón Cadena Oleas, </w:t>
      </w:r>
      <w:proofErr w:type="spellStart"/>
      <w:r w:rsidRPr="006845C3">
        <w:rPr>
          <w:sz w:val="24"/>
          <w:szCs w:val="24"/>
        </w:rPr>
        <w:t>Ph</w:t>
      </w:r>
      <w:proofErr w:type="spellEnd"/>
      <w:r w:rsidRPr="006845C3">
        <w:rPr>
          <w:sz w:val="24"/>
          <w:szCs w:val="24"/>
        </w:rPr>
        <w:t xml:space="preserve">. D., Alcalde del Cantón Riobamba, proveyó y firmó la Ordenanza que antecede, en la fecha señalada. </w:t>
      </w:r>
      <w:r w:rsidRPr="006845C3">
        <w:rPr>
          <w:b/>
          <w:sz w:val="24"/>
          <w:szCs w:val="24"/>
        </w:rPr>
        <w:t>LO CERTIFICO:</w:t>
      </w:r>
    </w:p>
    <w:p w:rsidR="0078529D" w:rsidRPr="006845C3" w:rsidRDefault="0078529D" w:rsidP="00577A03">
      <w:pPr>
        <w:jc w:val="both"/>
        <w:rPr>
          <w:b/>
          <w:sz w:val="24"/>
          <w:szCs w:val="24"/>
        </w:rPr>
      </w:pPr>
    </w:p>
    <w:p w:rsidR="006D0ECD" w:rsidRDefault="006D0ECD" w:rsidP="00577A03">
      <w:pPr>
        <w:contextualSpacing/>
        <w:jc w:val="both"/>
        <w:rPr>
          <w:sz w:val="24"/>
          <w:szCs w:val="24"/>
        </w:rPr>
      </w:pPr>
    </w:p>
    <w:p w:rsidR="0078529D" w:rsidRPr="006845C3" w:rsidRDefault="0078529D" w:rsidP="00577A03">
      <w:pPr>
        <w:contextualSpacing/>
        <w:jc w:val="both"/>
        <w:rPr>
          <w:sz w:val="24"/>
          <w:szCs w:val="24"/>
        </w:rPr>
      </w:pPr>
      <w:r w:rsidRPr="006845C3">
        <w:rPr>
          <w:sz w:val="24"/>
          <w:szCs w:val="24"/>
        </w:rPr>
        <w:t>Dr. Iván Paredes García</w:t>
      </w:r>
    </w:p>
    <w:p w:rsidR="0078529D" w:rsidRPr="006845C3" w:rsidRDefault="0078529D" w:rsidP="00577A03">
      <w:pPr>
        <w:contextualSpacing/>
        <w:jc w:val="both"/>
        <w:rPr>
          <w:b/>
          <w:sz w:val="24"/>
          <w:szCs w:val="24"/>
        </w:rPr>
      </w:pPr>
      <w:r w:rsidRPr="006845C3">
        <w:rPr>
          <w:b/>
          <w:sz w:val="24"/>
          <w:szCs w:val="24"/>
        </w:rPr>
        <w:t xml:space="preserve">SECRETARIO GENERAL DE CONCEJO </w:t>
      </w:r>
    </w:p>
    <w:p w:rsidR="0078529D" w:rsidRPr="006845C3" w:rsidRDefault="0078529D" w:rsidP="00577A03">
      <w:pPr>
        <w:contextualSpacing/>
        <w:jc w:val="both"/>
        <w:rPr>
          <w:sz w:val="24"/>
          <w:szCs w:val="24"/>
        </w:rPr>
      </w:pPr>
    </w:p>
    <w:p w:rsidR="0078529D" w:rsidRPr="006845C3" w:rsidRDefault="00577A03" w:rsidP="00577A03">
      <w:pPr>
        <w:contextualSpacing/>
        <w:jc w:val="both"/>
        <w:rPr>
          <w:sz w:val="24"/>
          <w:szCs w:val="24"/>
        </w:rPr>
      </w:pPr>
      <w:r>
        <w:rPr>
          <w:sz w:val="24"/>
          <w:szCs w:val="24"/>
        </w:rPr>
        <w:t>CO</w:t>
      </w:r>
      <w:r w:rsidR="0078529D" w:rsidRPr="006845C3">
        <w:rPr>
          <w:sz w:val="24"/>
          <w:szCs w:val="24"/>
        </w:rPr>
        <w:t>/</w:t>
      </w:r>
      <w:proofErr w:type="spellStart"/>
      <w:r w:rsidR="0078529D" w:rsidRPr="006845C3">
        <w:rPr>
          <w:sz w:val="24"/>
          <w:szCs w:val="24"/>
        </w:rPr>
        <w:t>tpc</w:t>
      </w:r>
      <w:proofErr w:type="spellEnd"/>
      <w:r w:rsidR="0078529D" w:rsidRPr="006845C3">
        <w:rPr>
          <w:sz w:val="24"/>
          <w:szCs w:val="24"/>
        </w:rPr>
        <w:t>.</w:t>
      </w:r>
    </w:p>
    <w:p w:rsidR="0078529D" w:rsidRPr="00DD2E23" w:rsidRDefault="0078529D" w:rsidP="00577A03">
      <w:pPr>
        <w:jc w:val="center"/>
        <w:rPr>
          <w:b/>
          <w:sz w:val="24"/>
          <w:szCs w:val="24"/>
        </w:rPr>
      </w:pPr>
    </w:p>
    <w:p w:rsidR="0078529D" w:rsidRPr="00DD2E23" w:rsidRDefault="0078529D" w:rsidP="00577A03">
      <w:pPr>
        <w:jc w:val="center"/>
        <w:rPr>
          <w:b/>
          <w:sz w:val="24"/>
          <w:szCs w:val="24"/>
        </w:rPr>
      </w:pPr>
    </w:p>
    <w:p w:rsidR="0078529D" w:rsidRPr="00DD2E23" w:rsidRDefault="0078529D" w:rsidP="00577A03">
      <w:pPr>
        <w:jc w:val="center"/>
        <w:rPr>
          <w:b/>
          <w:sz w:val="24"/>
          <w:szCs w:val="24"/>
        </w:rPr>
      </w:pPr>
    </w:p>
    <w:p w:rsidR="0078529D" w:rsidRDefault="0078529D" w:rsidP="00577A03">
      <w:pPr>
        <w:jc w:val="center"/>
        <w:rPr>
          <w:b/>
          <w:sz w:val="24"/>
          <w:szCs w:val="24"/>
        </w:rPr>
      </w:pPr>
    </w:p>
    <w:p w:rsidR="0078529D" w:rsidRDefault="0078529D" w:rsidP="00577A03">
      <w:pPr>
        <w:jc w:val="center"/>
        <w:rPr>
          <w:b/>
          <w:sz w:val="24"/>
          <w:szCs w:val="24"/>
        </w:rPr>
      </w:pPr>
    </w:p>
    <w:p w:rsidR="008B63FF" w:rsidRPr="0078529D" w:rsidRDefault="008B63FF" w:rsidP="00577A03">
      <w:pPr>
        <w:pStyle w:val="Sinespaciado"/>
        <w:jc w:val="both"/>
        <w:rPr>
          <w:lang w:val="es-EC"/>
        </w:rPr>
      </w:pPr>
    </w:p>
    <w:sectPr w:rsidR="008B63FF" w:rsidRPr="0078529D" w:rsidSect="0078529D">
      <w:headerReference w:type="default" r:id="rId9"/>
      <w:footerReference w:type="default" r:id="rId10"/>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88" w:rsidRDefault="00F60B88" w:rsidP="000D5646">
      <w:r>
        <w:separator/>
      </w:r>
    </w:p>
  </w:endnote>
  <w:endnote w:type="continuationSeparator" w:id="0">
    <w:p w:rsidR="00F60B88" w:rsidRDefault="00F60B88" w:rsidP="000D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03" w:rsidRDefault="00577A03">
    <w:pPr>
      <w:pStyle w:val="Piedepgina"/>
      <w:jc w:val="right"/>
    </w:pPr>
  </w:p>
  <w:p w:rsidR="000D5B96" w:rsidRDefault="000D5B96">
    <w:pPr>
      <w:pStyle w:val="Piedepgina"/>
      <w:jc w:val="right"/>
    </w:pPr>
    <w:r>
      <w:fldChar w:fldCharType="begin"/>
    </w:r>
    <w:r>
      <w:instrText xml:space="preserve"> PAGE   \* MERGEFORMAT </w:instrText>
    </w:r>
    <w:r>
      <w:fldChar w:fldCharType="separate"/>
    </w:r>
    <w:r w:rsidR="00821D39">
      <w:rPr>
        <w:noProof/>
      </w:rPr>
      <w:t>14</w:t>
    </w:r>
    <w:r>
      <w:fldChar w:fldCharType="end"/>
    </w:r>
  </w:p>
  <w:p w:rsidR="000D5B96" w:rsidRPr="00A665AA" w:rsidRDefault="000D5B96" w:rsidP="0078529D">
    <w:pPr>
      <w:pStyle w:val="Piedepgina"/>
      <w:rPr>
        <w:b/>
        <w:sz w:val="16"/>
        <w:szCs w:val="16"/>
      </w:rPr>
    </w:pPr>
    <w:r w:rsidRPr="00A665AA">
      <w:rPr>
        <w:b/>
        <w:sz w:val="16"/>
        <w:szCs w:val="16"/>
      </w:rPr>
      <w:t>SECRETARÍA GENERAL DEL CONCEJO</w:t>
    </w:r>
  </w:p>
  <w:p w:rsidR="000D5B96" w:rsidRPr="00F64D27" w:rsidRDefault="000D5B96" w:rsidP="0078529D">
    <w:pPr>
      <w:pStyle w:val="Piedepgina"/>
      <w:rPr>
        <w:sz w:val="16"/>
        <w:szCs w:val="16"/>
      </w:rPr>
    </w:pPr>
    <w:r w:rsidRPr="00F64D27">
      <w:rPr>
        <w:sz w:val="16"/>
        <w:szCs w:val="16"/>
      </w:rPr>
      <w:t>5 de Junio y Veloz – Conmutador: 2966000 01-02-03 –Ext. 105-108 – Tele-Fax 2961014 – Casilla 06-01-24</w:t>
    </w:r>
  </w:p>
  <w:p w:rsidR="000D5B96" w:rsidRPr="00F64D27" w:rsidRDefault="000D5B96" w:rsidP="0078529D">
    <w:pPr>
      <w:pStyle w:val="Piedepgina"/>
      <w:rPr>
        <w:sz w:val="16"/>
        <w:szCs w:val="16"/>
      </w:rPr>
    </w:pPr>
    <w:r w:rsidRPr="00F64D27">
      <w:rPr>
        <w:sz w:val="16"/>
        <w:szCs w:val="16"/>
      </w:rPr>
      <w:t>Mail:</w:t>
    </w:r>
    <w:r w:rsidRPr="00ED36D7">
      <w:rPr>
        <w:sz w:val="16"/>
        <w:szCs w:val="16"/>
      </w:rPr>
      <w:t xml:space="preserve"> sconcejo@</w:t>
    </w:r>
    <w:r>
      <w:rPr>
        <w:sz w:val="16"/>
        <w:szCs w:val="16"/>
      </w:rPr>
      <w:t>gad</w:t>
    </w:r>
    <w:r w:rsidRPr="00ED36D7">
      <w:rPr>
        <w:sz w:val="16"/>
        <w:szCs w:val="16"/>
      </w:rPr>
      <w:t>mriobamba.gob.ec</w:t>
    </w:r>
  </w:p>
  <w:p w:rsidR="000D5B96" w:rsidRDefault="000D5B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88" w:rsidRDefault="00F60B88" w:rsidP="000D5646">
      <w:r>
        <w:separator/>
      </w:r>
    </w:p>
  </w:footnote>
  <w:footnote w:type="continuationSeparator" w:id="0">
    <w:p w:rsidR="00F60B88" w:rsidRDefault="00F60B88" w:rsidP="000D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96" w:rsidRPr="00EF256A" w:rsidRDefault="000D5B96" w:rsidP="0078529D">
    <w:pPr>
      <w:pStyle w:val="Encabezado"/>
      <w:ind w:left="5664"/>
    </w:pPr>
    <w:r>
      <w:rPr>
        <w:noProof/>
      </w:rPr>
      <w:drawing>
        <wp:anchor distT="0" distB="0" distL="114300" distR="114300" simplePos="0" relativeHeight="251658752" behindDoc="0" locked="0" layoutInCell="1" allowOverlap="1" wp14:anchorId="0397B11E" wp14:editId="6D7273D5">
          <wp:simplePos x="0" y="0"/>
          <wp:positionH relativeFrom="column">
            <wp:posOffset>-556895</wp:posOffset>
          </wp:positionH>
          <wp:positionV relativeFrom="paragraph">
            <wp:posOffset>-374650</wp:posOffset>
          </wp:positionV>
          <wp:extent cx="2028825" cy="716280"/>
          <wp:effectExtent l="0" t="0" r="0" b="0"/>
          <wp:wrapSquare wrapText="bothSides"/>
          <wp:docPr id="1" name="Imagen 1" descr="F:\DIRECCIONES\LOGO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DIRECCIONES\LOGO G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hyperlink r:id="rId2" w:history="1">
      <w:r w:rsidRPr="00F07F63">
        <w:rPr>
          <w:rStyle w:val="Hipervnculo"/>
        </w:rPr>
        <w:t>www.gadmriobamba.gob.ec</w:t>
      </w:r>
    </w:hyperlink>
  </w:p>
  <w:p w:rsidR="000D5B96" w:rsidRPr="00E02454" w:rsidRDefault="000D5B96">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A02"/>
    <w:multiLevelType w:val="hybridMultilevel"/>
    <w:tmpl w:val="9174B9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47"/>
    <w:rsid w:val="0001686A"/>
    <w:rsid w:val="000241BD"/>
    <w:rsid w:val="000264BB"/>
    <w:rsid w:val="00027F4A"/>
    <w:rsid w:val="00045FFC"/>
    <w:rsid w:val="00087FB5"/>
    <w:rsid w:val="000A1A33"/>
    <w:rsid w:val="000A3F95"/>
    <w:rsid w:val="000A4AC5"/>
    <w:rsid w:val="000D0D7F"/>
    <w:rsid w:val="000D5646"/>
    <w:rsid w:val="000D5B96"/>
    <w:rsid w:val="001122A0"/>
    <w:rsid w:val="0014721F"/>
    <w:rsid w:val="00172E29"/>
    <w:rsid w:val="001B3756"/>
    <w:rsid w:val="001C1225"/>
    <w:rsid w:val="00200C8F"/>
    <w:rsid w:val="002473D3"/>
    <w:rsid w:val="002638F5"/>
    <w:rsid w:val="00271258"/>
    <w:rsid w:val="0029100C"/>
    <w:rsid w:val="002D590A"/>
    <w:rsid w:val="002E7D58"/>
    <w:rsid w:val="00315FCC"/>
    <w:rsid w:val="0032101A"/>
    <w:rsid w:val="00331FE7"/>
    <w:rsid w:val="00335ABC"/>
    <w:rsid w:val="003401C8"/>
    <w:rsid w:val="00343CC5"/>
    <w:rsid w:val="00347937"/>
    <w:rsid w:val="003F0CDF"/>
    <w:rsid w:val="003F79B2"/>
    <w:rsid w:val="00471442"/>
    <w:rsid w:val="0047373B"/>
    <w:rsid w:val="004937C8"/>
    <w:rsid w:val="004A2656"/>
    <w:rsid w:val="0053280C"/>
    <w:rsid w:val="00577A03"/>
    <w:rsid w:val="00587201"/>
    <w:rsid w:val="005C5837"/>
    <w:rsid w:val="005E018C"/>
    <w:rsid w:val="005E05FD"/>
    <w:rsid w:val="005E2878"/>
    <w:rsid w:val="005F428A"/>
    <w:rsid w:val="00656A20"/>
    <w:rsid w:val="006845C3"/>
    <w:rsid w:val="006C58C4"/>
    <w:rsid w:val="006D0ECD"/>
    <w:rsid w:val="006D6D29"/>
    <w:rsid w:val="006E4956"/>
    <w:rsid w:val="006F6F81"/>
    <w:rsid w:val="007034FF"/>
    <w:rsid w:val="0070505E"/>
    <w:rsid w:val="007114A3"/>
    <w:rsid w:val="00717974"/>
    <w:rsid w:val="00717B9C"/>
    <w:rsid w:val="00721F64"/>
    <w:rsid w:val="007374D9"/>
    <w:rsid w:val="0077339F"/>
    <w:rsid w:val="0077678B"/>
    <w:rsid w:val="0077722C"/>
    <w:rsid w:val="0078262F"/>
    <w:rsid w:val="0078529D"/>
    <w:rsid w:val="00794A6D"/>
    <w:rsid w:val="00797361"/>
    <w:rsid w:val="00797FBF"/>
    <w:rsid w:val="007A63D4"/>
    <w:rsid w:val="007C17EA"/>
    <w:rsid w:val="007C5E2B"/>
    <w:rsid w:val="007E4B2D"/>
    <w:rsid w:val="00803D03"/>
    <w:rsid w:val="00805B43"/>
    <w:rsid w:val="00810E7F"/>
    <w:rsid w:val="00821D39"/>
    <w:rsid w:val="00851CB9"/>
    <w:rsid w:val="008650E2"/>
    <w:rsid w:val="008828A8"/>
    <w:rsid w:val="0089689C"/>
    <w:rsid w:val="008B1B2D"/>
    <w:rsid w:val="008B63FF"/>
    <w:rsid w:val="008E7A7A"/>
    <w:rsid w:val="00933A4D"/>
    <w:rsid w:val="0093675E"/>
    <w:rsid w:val="0094014E"/>
    <w:rsid w:val="00964432"/>
    <w:rsid w:val="00986ED8"/>
    <w:rsid w:val="009874EF"/>
    <w:rsid w:val="009F0850"/>
    <w:rsid w:val="00A32155"/>
    <w:rsid w:val="00A4412C"/>
    <w:rsid w:val="00A97816"/>
    <w:rsid w:val="00AA0EBE"/>
    <w:rsid w:val="00AA7698"/>
    <w:rsid w:val="00AB4989"/>
    <w:rsid w:val="00AB7D47"/>
    <w:rsid w:val="00AC12C4"/>
    <w:rsid w:val="00AD1E29"/>
    <w:rsid w:val="00B05DFA"/>
    <w:rsid w:val="00B2516F"/>
    <w:rsid w:val="00B25E00"/>
    <w:rsid w:val="00B44ADA"/>
    <w:rsid w:val="00BB1C1E"/>
    <w:rsid w:val="00BF1DCF"/>
    <w:rsid w:val="00C0215C"/>
    <w:rsid w:val="00C06A43"/>
    <w:rsid w:val="00C11966"/>
    <w:rsid w:val="00C13AB6"/>
    <w:rsid w:val="00C17738"/>
    <w:rsid w:val="00C20587"/>
    <w:rsid w:val="00C21C98"/>
    <w:rsid w:val="00C22AF5"/>
    <w:rsid w:val="00C308CC"/>
    <w:rsid w:val="00CB783C"/>
    <w:rsid w:val="00CE3CD0"/>
    <w:rsid w:val="00D04F68"/>
    <w:rsid w:val="00D24809"/>
    <w:rsid w:val="00D56DDD"/>
    <w:rsid w:val="00D63D25"/>
    <w:rsid w:val="00D948A5"/>
    <w:rsid w:val="00DC4A58"/>
    <w:rsid w:val="00DF17AF"/>
    <w:rsid w:val="00DF6190"/>
    <w:rsid w:val="00E2501B"/>
    <w:rsid w:val="00E62E9B"/>
    <w:rsid w:val="00E90CF5"/>
    <w:rsid w:val="00EA7510"/>
    <w:rsid w:val="00EC72B2"/>
    <w:rsid w:val="00EE20EA"/>
    <w:rsid w:val="00F00AC6"/>
    <w:rsid w:val="00F10046"/>
    <w:rsid w:val="00F24E90"/>
    <w:rsid w:val="00F30B47"/>
    <w:rsid w:val="00F326DE"/>
    <w:rsid w:val="00F576D6"/>
    <w:rsid w:val="00F60B88"/>
    <w:rsid w:val="00F77C23"/>
    <w:rsid w:val="00F965CA"/>
    <w:rsid w:val="00FB0877"/>
    <w:rsid w:val="00FD5F05"/>
    <w:rsid w:val="00FF51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A1C9A-B455-4519-BB5A-BAD3AD8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47"/>
    <w:pPr>
      <w:widowControl w:val="0"/>
      <w:autoSpaceDE w:val="0"/>
      <w:autoSpaceDN w:val="0"/>
      <w:adjustRightInd w:val="0"/>
      <w:spacing w:after="0" w:line="240" w:lineRule="auto"/>
    </w:pPr>
    <w:rPr>
      <w:rFonts w:ascii="Times New Roman" w:eastAsia="Calibri" w:hAnsi="Times New Roman" w:cs="Times New Roman"/>
      <w:sz w:val="20"/>
      <w:szCs w:val="20"/>
      <w:lang w:eastAsia="es-EC"/>
    </w:rPr>
  </w:style>
  <w:style w:type="paragraph" w:styleId="Ttulo1">
    <w:name w:val="heading 1"/>
    <w:basedOn w:val="Normal"/>
    <w:next w:val="Normal"/>
    <w:link w:val="Ttulo1Car"/>
    <w:uiPriority w:val="9"/>
    <w:qFormat/>
    <w:rsid w:val="0078529D"/>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0B47"/>
    <w:pPr>
      <w:spacing w:after="0" w:line="240" w:lineRule="auto"/>
    </w:pPr>
    <w:rPr>
      <w:rFonts w:ascii="Calibri" w:eastAsia="Times New Roman" w:hAnsi="Calibri" w:cs="Calibri"/>
      <w:lang w:val="es-ES"/>
    </w:rPr>
  </w:style>
  <w:style w:type="paragraph" w:styleId="Encabezado">
    <w:name w:val="header"/>
    <w:basedOn w:val="Normal"/>
    <w:link w:val="EncabezadoCar"/>
    <w:uiPriority w:val="99"/>
    <w:unhideWhenUsed/>
    <w:rsid w:val="00F30B47"/>
    <w:pPr>
      <w:tabs>
        <w:tab w:val="center" w:pos="4419"/>
        <w:tab w:val="right" w:pos="8838"/>
      </w:tabs>
    </w:pPr>
  </w:style>
  <w:style w:type="character" w:customStyle="1" w:styleId="EncabezadoCar">
    <w:name w:val="Encabezado Car"/>
    <w:basedOn w:val="Fuentedeprrafopredeter"/>
    <w:link w:val="Encabezado"/>
    <w:uiPriority w:val="99"/>
    <w:rsid w:val="00F30B47"/>
    <w:rPr>
      <w:rFonts w:ascii="Times New Roman" w:eastAsia="Calibri" w:hAnsi="Times New Roman" w:cs="Times New Roman"/>
      <w:sz w:val="20"/>
      <w:szCs w:val="20"/>
      <w:lang w:eastAsia="es-EC"/>
    </w:rPr>
  </w:style>
  <w:style w:type="paragraph" w:styleId="Piedepgina">
    <w:name w:val="footer"/>
    <w:basedOn w:val="Normal"/>
    <w:link w:val="PiedepginaCar"/>
    <w:uiPriority w:val="99"/>
    <w:unhideWhenUsed/>
    <w:rsid w:val="00F30B47"/>
    <w:pPr>
      <w:tabs>
        <w:tab w:val="center" w:pos="4419"/>
        <w:tab w:val="right" w:pos="8838"/>
      </w:tabs>
    </w:pPr>
  </w:style>
  <w:style w:type="character" w:customStyle="1" w:styleId="PiedepginaCar">
    <w:name w:val="Pie de página Car"/>
    <w:basedOn w:val="Fuentedeprrafopredeter"/>
    <w:link w:val="Piedepgina"/>
    <w:uiPriority w:val="99"/>
    <w:rsid w:val="00F30B47"/>
    <w:rPr>
      <w:rFonts w:ascii="Times New Roman" w:eastAsia="Calibri" w:hAnsi="Times New Roman" w:cs="Times New Roman"/>
      <w:sz w:val="20"/>
      <w:szCs w:val="20"/>
      <w:lang w:eastAsia="es-EC"/>
    </w:rPr>
  </w:style>
  <w:style w:type="paragraph" w:customStyle="1" w:styleId="Cuadrculamedia21">
    <w:name w:val="Cuadrícula media 21"/>
    <w:uiPriority w:val="1"/>
    <w:qFormat/>
    <w:rsid w:val="00F30B47"/>
    <w:pPr>
      <w:spacing w:after="0" w:line="240" w:lineRule="auto"/>
    </w:pPr>
    <w:rPr>
      <w:rFonts w:ascii="Calibri" w:eastAsia="Times New Roman" w:hAnsi="Calibri" w:cs="Calibri"/>
      <w:lang w:val="es-ES"/>
    </w:rPr>
  </w:style>
  <w:style w:type="table" w:styleId="Tablaconcuadrcula">
    <w:name w:val="Table Grid"/>
    <w:basedOn w:val="Tablanormal"/>
    <w:uiPriority w:val="39"/>
    <w:rsid w:val="00F30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semiHidden/>
    <w:unhideWhenUsed/>
    <w:qFormat/>
    <w:rsid w:val="00F30B47"/>
    <w:pPr>
      <w:spacing w:after="200"/>
    </w:pPr>
    <w:rPr>
      <w:b/>
      <w:bCs/>
      <w:color w:val="4F81BD" w:themeColor="accent1"/>
      <w:sz w:val="18"/>
      <w:szCs w:val="18"/>
    </w:rPr>
  </w:style>
  <w:style w:type="paragraph" w:styleId="Textoindependiente2">
    <w:name w:val="Body Text 2"/>
    <w:basedOn w:val="Normal"/>
    <w:link w:val="Textoindependiente2Car"/>
    <w:rsid w:val="00F30B47"/>
    <w:pPr>
      <w:jc w:val="center"/>
    </w:pPr>
    <w:rPr>
      <w:rFonts w:ascii="Courier New" w:eastAsia="Times New Roman" w:hAnsi="Courier New"/>
      <w:sz w:val="19"/>
      <w:lang w:val="es-ES_tradnl" w:eastAsia="es-ES"/>
    </w:rPr>
  </w:style>
  <w:style w:type="character" w:customStyle="1" w:styleId="Textoindependiente2Car">
    <w:name w:val="Texto independiente 2 Car"/>
    <w:basedOn w:val="Fuentedeprrafopredeter"/>
    <w:link w:val="Textoindependiente2"/>
    <w:rsid w:val="00F30B47"/>
    <w:rPr>
      <w:rFonts w:ascii="Courier New" w:eastAsia="Times New Roman" w:hAnsi="Courier New" w:cs="Times New Roman"/>
      <w:sz w:val="19"/>
      <w:szCs w:val="20"/>
      <w:lang w:val="es-ES_tradnl" w:eastAsia="es-ES"/>
    </w:rPr>
  </w:style>
  <w:style w:type="paragraph" w:styleId="Textoindependiente3">
    <w:name w:val="Body Text 3"/>
    <w:basedOn w:val="Normal"/>
    <w:link w:val="Textoindependiente3Car"/>
    <w:rsid w:val="00F30B47"/>
    <w:pPr>
      <w:widowControl/>
      <w:autoSpaceDE/>
      <w:autoSpaceDN/>
      <w:adjustRightInd/>
      <w:jc w:val="both"/>
    </w:pPr>
    <w:rPr>
      <w:rFonts w:eastAsia="Times New Roman"/>
      <w:sz w:val="24"/>
      <w:lang w:val="es-ES_tradnl" w:eastAsia="es-ES"/>
    </w:rPr>
  </w:style>
  <w:style w:type="character" w:customStyle="1" w:styleId="Textoindependiente3Car">
    <w:name w:val="Texto independiente 3 Car"/>
    <w:basedOn w:val="Fuentedeprrafopredeter"/>
    <w:link w:val="Textoindependiente3"/>
    <w:rsid w:val="00F30B4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qFormat/>
    <w:rsid w:val="00F30B47"/>
    <w:pPr>
      <w:autoSpaceDE/>
      <w:autoSpaceDN/>
      <w:adjustRightInd/>
      <w:spacing w:line="360" w:lineRule="auto"/>
      <w:ind w:left="720"/>
      <w:contextualSpacing/>
    </w:pPr>
    <w:rPr>
      <w:rFonts w:ascii="Courier New" w:eastAsia="Times New Roman" w:hAnsi="Courier New" w:cs="Courier New"/>
      <w:sz w:val="24"/>
      <w:szCs w:val="24"/>
      <w:lang w:val="es-ES"/>
    </w:rPr>
  </w:style>
  <w:style w:type="character" w:customStyle="1" w:styleId="nrmar">
    <w:name w:val="nrmar"/>
    <w:basedOn w:val="Fuentedeprrafopredeter"/>
    <w:rsid w:val="00F30B47"/>
  </w:style>
  <w:style w:type="paragraph" w:customStyle="1" w:styleId="xmsonospacing">
    <w:name w:val="x_msonospacing"/>
    <w:basedOn w:val="Normal"/>
    <w:rsid w:val="00F30B47"/>
    <w:pPr>
      <w:widowControl/>
      <w:autoSpaceDE/>
      <w:autoSpaceDN/>
      <w:adjustRightInd/>
      <w:spacing w:before="100" w:beforeAutospacing="1" w:after="100" w:afterAutospacing="1"/>
    </w:pPr>
    <w:rPr>
      <w:rFonts w:eastAsia="Times New Roman"/>
      <w:sz w:val="24"/>
      <w:szCs w:val="24"/>
    </w:rPr>
  </w:style>
  <w:style w:type="paragraph" w:styleId="Prrafodelista">
    <w:name w:val="List Paragraph"/>
    <w:basedOn w:val="Normal"/>
    <w:qFormat/>
    <w:rsid w:val="00347937"/>
    <w:pPr>
      <w:ind w:left="720"/>
      <w:contextualSpacing/>
    </w:pPr>
  </w:style>
  <w:style w:type="paragraph" w:styleId="Textodeglobo">
    <w:name w:val="Balloon Text"/>
    <w:basedOn w:val="Normal"/>
    <w:link w:val="TextodegloboCar"/>
    <w:uiPriority w:val="99"/>
    <w:semiHidden/>
    <w:unhideWhenUsed/>
    <w:rsid w:val="00347937"/>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937"/>
    <w:rPr>
      <w:rFonts w:ascii="Tahoma" w:eastAsia="Calibri" w:hAnsi="Tahoma" w:cs="Tahoma"/>
      <w:sz w:val="16"/>
      <w:szCs w:val="16"/>
      <w:lang w:eastAsia="es-EC"/>
    </w:rPr>
  </w:style>
  <w:style w:type="character" w:styleId="Hipervnculo">
    <w:name w:val="Hyperlink"/>
    <w:uiPriority w:val="99"/>
    <w:unhideWhenUsed/>
    <w:rsid w:val="0078529D"/>
    <w:rPr>
      <w:color w:val="0000FF"/>
      <w:u w:val="single"/>
    </w:rPr>
  </w:style>
  <w:style w:type="character" w:customStyle="1" w:styleId="Ttulo1Car">
    <w:name w:val="Título 1 Car"/>
    <w:basedOn w:val="Fuentedeprrafopredeter"/>
    <w:link w:val="Ttulo1"/>
    <w:uiPriority w:val="9"/>
    <w:rsid w:val="0078529D"/>
    <w:rPr>
      <w:rFonts w:asciiTheme="majorHAnsi" w:eastAsiaTheme="majorEastAsia" w:hAnsiTheme="majorHAnsi" w:cstheme="majorBidi"/>
      <w:b/>
      <w:bCs/>
      <w:color w:val="365F91" w:themeColor="accent1" w:themeShade="BF"/>
      <w:sz w:val="28"/>
      <w:szCs w:val="28"/>
    </w:rPr>
  </w:style>
  <w:style w:type="character" w:styleId="nfasis">
    <w:name w:val="Emphasis"/>
    <w:qFormat/>
    <w:rsid w:val="0078529D"/>
    <w:rPr>
      <w:i/>
      <w:iCs/>
    </w:rPr>
  </w:style>
  <w:style w:type="paragraph" w:styleId="Subttulo">
    <w:name w:val="Subtitle"/>
    <w:basedOn w:val="Normal"/>
    <w:next w:val="Normal"/>
    <w:link w:val="SubttuloCar"/>
    <w:qFormat/>
    <w:rsid w:val="0078529D"/>
    <w:pPr>
      <w:widowControl/>
      <w:autoSpaceDE/>
      <w:autoSpaceDN/>
      <w:adjustRightInd/>
      <w:spacing w:after="60" w:line="276" w:lineRule="auto"/>
      <w:ind w:right="-147"/>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rsid w:val="0078529D"/>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admriobamba.gob.ec"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6023</Words>
  <Characters>33131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dc:creator>
  <cp:lastModifiedBy>Tania Puyol</cp:lastModifiedBy>
  <cp:revision>3</cp:revision>
  <cp:lastPrinted>2019-05-27T23:13:00Z</cp:lastPrinted>
  <dcterms:created xsi:type="dcterms:W3CDTF">2019-05-27T23:12:00Z</dcterms:created>
  <dcterms:modified xsi:type="dcterms:W3CDTF">2019-05-27T23:15:00Z</dcterms:modified>
</cp:coreProperties>
</file>